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4281dca40d1428d" /></Relationships>
</file>

<file path=word/document.xml><?xml version="1.0" encoding="utf-8"?>
<w:document xmlns:r="http://schemas.openxmlformats.org/officeDocument/2006/relationships" xmlns:w="http://schemas.openxmlformats.org/wordprocessingml/2006/main">
  <w:body>
    <w:p>
      <w:pPr>
        <w:pStyle w:val="Title"/>
      </w:pPr>
      <w:r>
        <w:t>Private rent assistance DSS 2012-13</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Private rent assistance DSS 2012-13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565255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59100df12f64982">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Private rent assistance relates to the provision of financial assistance to enable households to access and maintain accommodation in the private rental market and </w:t>
            </w:r>
            <w:r>
              <w:rPr>
                <w:rStyle w:val="row-content-rich-text"/>
                <w:b/>
                <w:u w:val="single"/>
              </w:rPr>
              <w:t xml:space="preserve">includes</w:t>
            </w:r>
            <w:r>
              <w:rPr>
                <w:rStyle w:val="row-content-rich-text"/>
              </w:rPr>
              <w:t xml:space="preserve">:</w:t>
            </w:r>
          </w:p>
          <w:p>
            <w:pPr>
              <w:spacing w:after="160"/>
              <w:jc w:val="left"/>
            </w:pPr>
            <w:r>
              <w:rPr>
                <w:rStyle w:val="row-content-rich-text"/>
              </w:rPr>
              <w:t xml:space="preserve">     • bond loans</w:t>
            </w:r>
            <w:r>
              <w:br/>
            </w:r>
            <w:r>
              <w:rPr>
                <w:rStyle w:val="row-content-rich-text"/>
              </w:rPr>
              <w:t xml:space="preserve">     • rental grants</w:t>
            </w:r>
            <w:r>
              <w:br/>
            </w:r>
            <w:r>
              <w:rPr>
                <w:rStyle w:val="row-content-rich-text"/>
              </w:rPr>
              <w:t xml:space="preserve">     • rental subsidies</w:t>
            </w:r>
            <w:r>
              <w:br/>
            </w:r>
            <w:r>
              <w:rPr>
                <w:rStyle w:val="row-content-rich-text"/>
              </w:rPr>
              <w:t xml:space="preserve">     • relocation expenses and</w:t>
            </w:r>
            <w:r>
              <w:br/>
            </w:r>
            <w:r>
              <w:rPr>
                <w:rStyle w:val="row-content-rich-text"/>
              </w:rPr>
              <w:t xml:space="preserve">     • other assistance grants.</w:t>
            </w:r>
          </w:p>
          <w:p>
            <w:pPr>
              <w:spacing w:after="160"/>
            </w:pPr>
            <w:r>
              <w:rPr>
                <w:rStyle w:val="row-content-rich-text"/>
              </w:rPr>
              <w:t xml:space="preserve">The collection </w:t>
            </w:r>
            <w:r>
              <w:rPr>
                <w:rStyle w:val="row-content-rich-text"/>
                <w:b/>
                <w:u w:val="single"/>
              </w:rPr>
              <w:t xml:space="preserve">excludes</w:t>
            </w:r>
          </w:p>
          <w:p>
            <w:pPr>
              <w:pStyle w:val="ListParagraph"/>
              <w:numPr>
                <w:ilvl w:val="0"/>
                <w:numId w:val="2"/>
              </w:numPr>
            </w:pPr>
            <w:r>
              <w:rPr>
                <w:rStyle w:val="row-content-rich-text"/>
              </w:rPr>
              <w:t xml:space="preserve">non-financial assistance, for example, tenancy support services and tenancy guarantees and</w:t>
            </w:r>
          </w:p>
          <w:p>
            <w:pPr>
              <w:pStyle w:val="ListParagraph"/>
              <w:numPr>
                <w:ilvl w:val="0"/>
                <w:numId w:val="2"/>
              </w:numPr>
            </w:pPr>
            <w:r>
              <w:rPr>
                <w:rStyle w:val="row-content-rich-text"/>
              </w:rPr>
              <w:t xml:space="preserve">any expense incurred in providing assistance to a household that is not the value of the financial assistance received directly by the household.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2cea1cb3b04f49b7">
              <w:r>
                <w:rPr>
                  <w:rStyle w:val="Hyperlink"/>
                </w:rPr>
                <w:t xml:space="preserve">Households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Households receiving ongoing assistance should be counted once for the financial year only for each program type where assistance was provided—regardless of which financial year assistance commenced.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Include:</w:t>
            </w:r>
          </w:p>
          <w:p>
            <w:pPr>
              <w:pStyle w:val="ListParagraph"/>
              <w:numPr>
                <w:ilvl w:val="0"/>
                <w:numId w:val="3"/>
              </w:numPr>
            </w:pPr>
            <w:r>
              <w:rPr>
                <w:rStyle w:val="row-content-rich-text"/>
              </w:rPr>
              <w:t xml:space="preserve">all households who received private rent assistance during the 2012–13 financial year.</w:t>
            </w:r>
          </w:p>
          <w:p>
            <w:pPr>
              <w:spacing w:after="160"/>
            </w:pPr>
            <w:r>
              <w:rPr>
                <w:rStyle w:val="row-content-rich-text"/>
              </w:rPr>
              <w:t xml:space="preserve">The value of assistance provided to a household during the 2012–13 financial year for:</w:t>
            </w:r>
          </w:p>
          <w:p>
            <w:pPr>
              <w:pStyle w:val="ListParagraph"/>
              <w:numPr>
                <w:ilvl w:val="0"/>
                <w:numId w:val="4"/>
              </w:numPr>
            </w:pPr>
            <w:r>
              <w:rPr>
                <w:rStyle w:val="row-content-rich-text"/>
              </w:rPr>
              <w:t xml:space="preserve">all households who commenced receiving assistance for the year ending 30 June 2013 regardless of the form of assistance (i.e. whether assistance is one-off, ongoing, repayable or non-repayable)</w:t>
            </w:r>
          </w:p>
          <w:p>
            <w:pPr>
              <w:pStyle w:val="ListParagraph"/>
              <w:numPr>
                <w:ilvl w:val="0"/>
                <w:numId w:val="4"/>
              </w:numPr>
            </w:pPr>
            <w:r>
              <w:rPr>
                <w:rStyle w:val="row-content-rich-text"/>
              </w:rPr>
              <w:t xml:space="preserve">all households who commenced receiving an ongoing form of assistance in a previous financial year (i.e. prior to 1 July 2012) and continued to receive this assistance from 1 July 2012.</w:t>
            </w:r>
          </w:p>
          <w:p>
            <w:pPr>
              <w:spacing w:after="160"/>
            </w:pPr>
            <w:r>
              <w:rPr>
                <w:rStyle w:val="row-content-rich-text"/>
              </w:rPr>
              <w:t xml:space="preserve">Exclude:</w:t>
            </w:r>
          </w:p>
          <w:p>
            <w:pPr>
              <w:pStyle w:val="ListParagraph"/>
              <w:numPr>
                <w:ilvl w:val="0"/>
                <w:numId w:val="5"/>
              </w:numPr>
            </w:pPr>
            <w:r>
              <w:rPr>
                <w:rStyle w:val="row-content-rich-text"/>
              </w:rPr>
              <w:t xml:space="preserve">Households with outstanding monies to repay for assistance provided in a previous financial year, where no new assistance was provided for year ending 30 June 2013</w:t>
            </w:r>
          </w:p>
          <w:p>
            <w:pPr>
              <w:spacing w:after="160"/>
            </w:pPr>
            <w:r>
              <w:rPr>
                <w:rStyle w:val="row-content-rich-text"/>
              </w:rPr>
              <w:t xml:space="preserve"> </w:t>
            </w:r>
          </w:p>
          <w:p>
            <w:pPr>
              <w:pStyle w:val="ListParagraph"/>
              <w:numPr>
                <w:ilvl w:val="0"/>
                <w:numId w:val="5"/>
              </w:numPr>
            </w:pPr>
            <w:r>
              <w:rPr>
                <w:rStyle w:val="row-content-rich-text"/>
              </w:rPr>
              <w:t xml:space="preserve">Related administrative and operational costs associated with providing the private rent assistance</w:t>
            </w:r>
          </w:p>
          <w:p>
            <w:pPr>
              <w:pStyle w:val="ListParagraph"/>
              <w:numPr>
                <w:ilvl w:val="0"/>
                <w:numId w:val="5"/>
              </w:numPr>
            </w:pPr>
            <w:r>
              <w:rPr>
                <w:rStyle w:val="row-content-rich-text"/>
              </w:rPr>
              <w:t xml:space="preserve">The value of assistance provided to a household prior to 1 July 2012 (i.e. for households continuing to receive ongoing forms of assistance that commenced prior to 1 July 2012)</w:t>
            </w:r>
          </w:p>
          <w:p>
            <w:pPr>
              <w:pStyle w:val="ListParagraph"/>
              <w:numPr>
                <w:ilvl w:val="0"/>
                <w:numId w:val="5"/>
              </w:numPr>
            </w:pPr>
            <w:r>
              <w:rPr>
                <w:rStyle w:val="row-content-rich-text"/>
              </w:rPr>
              <w:t xml:space="preserve">The value of outstanding repayable monies where a repayable form of assistance was provided prior to 1 July 2012 and outstanding monies had not been repaid by 30 June 2012.</w:t>
            </w:r>
          </w:p>
          <w:p>
            <w:pPr>
              <w:spacing w:after="160"/>
            </w:pPr>
            <w:r>
              <w:rPr>
                <w:rStyle w:val="row-content-rich-text"/>
              </w:rPr>
              <w:t xml:space="preserve">Data qualifications:</w:t>
            </w:r>
          </w:p>
          <w:p>
            <w:pPr>
              <w:pStyle w:val="ListParagraph"/>
              <w:numPr>
                <w:ilvl w:val="0"/>
                <w:numId w:val="6"/>
              </w:numPr>
            </w:pPr>
            <w:r>
              <w:rPr>
                <w:rStyle w:val="row-content-rich-text"/>
              </w:rPr>
              <w:t xml:space="preserve">For those households who commenced receiving assistance in a previous financial year (i.e. prior to 1 July 2012) and they continued to receive this assistance, include only the value of assistance provided for the year ending 30 June 2013 (i.e. disregard the value of assistance provided prior to 1 July 2012)</w:t>
            </w:r>
          </w:p>
          <w:p>
            <w:pPr>
              <w:pStyle w:val="ListParagraph"/>
              <w:numPr>
                <w:ilvl w:val="0"/>
                <w:numId w:val="6"/>
              </w:numPr>
            </w:pPr>
            <w:r>
              <w:rPr>
                <w:rStyle w:val="row-content-rich-text"/>
              </w:rPr>
              <w:t xml:space="preserve">For those households who commenced receiving assistance in a previous financial year (i.e. prior to 1 July 2012) and they continued to receive this assistance, report the originating date of the assistance (i.e. the date the household first received the assistance). </w:t>
            </w:r>
          </w:p>
          <w:p>
            <w:pPr>
              <w:spacing w:after="160"/>
            </w:pPr>
            <w:r>
              <w:rPr>
                <w:rStyle w:val="row-content-rich-text"/>
              </w:rPr>
              <w:t xml:space="preserve">Jurisdictions are requested to provide details of all programs of private rent assistance (financial only) available to households during the 2012-13 reporting period. An Excel spreadsheet is provided for this purpose and includes the following fields:</w:t>
            </w:r>
          </w:p>
          <w:p>
            <w:pPr>
              <w:pStyle w:val="ListParagraph"/>
              <w:numPr>
                <w:ilvl w:val="0"/>
                <w:numId w:val="7"/>
              </w:numPr>
            </w:pPr>
            <w:r>
              <w:rPr>
                <w:rStyle w:val="row-content-rich-text"/>
              </w:rPr>
              <w:t xml:space="preserve">name of program</w:t>
            </w:r>
          </w:p>
          <w:p>
            <w:pPr>
              <w:pStyle w:val="ListParagraph"/>
              <w:numPr>
                <w:ilvl w:val="0"/>
                <w:numId w:val="7"/>
              </w:numPr>
            </w:pPr>
            <w:r>
              <w:rPr>
                <w:rStyle w:val="row-content-rich-text"/>
              </w:rPr>
              <w:t xml:space="preserve">description of program</w:t>
            </w:r>
          </w:p>
          <w:p>
            <w:pPr>
              <w:pStyle w:val="ListParagraph"/>
              <w:numPr>
                <w:ilvl w:val="0"/>
                <w:numId w:val="7"/>
              </w:numPr>
            </w:pPr>
            <w:r>
              <w:rPr>
                <w:rStyle w:val="row-content-rich-text"/>
              </w:rPr>
              <w:t xml:space="preserve">eligibility criteria.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AIHW</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d4b1b08dd8b54ba2">
              <w:r>
                <w:rPr>
                  <w:rStyle w:val="Hyperlink"/>
                </w:rPr>
                <w:t xml:space="preserve">Housing and Homelessness Information Management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hyperlink w:history="true" r:id="Rb99c950b73ec4b35">
              <w:r>
                <w:rPr>
                  <w:rStyle w:val="Hyperlink"/>
                </w:rPr>
                <w:t xml:space="preserve">Australian Institute of Health and Welfare, Private rent assistance data collection 2012-2013, data manual. </w:t>
              </w:r>
            </w:hyperlink>
          </w:p>
          <w:p>
            <w:pPr>
              <w:spacing w:after="160"/>
            </w:pPr>
            <w:r>
              <w:rPr>
                <w:rStyle w:val="row-content-rich-text"/>
              </w:rPr>
              <w:t xml:space="preserve"> </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490b2454d854727">
              <w:r>
                <w:rPr>
                  <w:rStyle w:val="Hyperlink"/>
                </w:rPr>
                <w:t xml:space="preserve">Private rent assistance DSS 2011-12</w:t>
              </w:r>
            </w:hyperlink>
          </w:p>
          <w:p>
            <w:pPr>
              <w:spacing w:before="0" w:after="0"/>
            </w:pPr>
            <w:r>
              <w:rPr>
                <w:rStyle w:val="row-content"/>
                <w:color w:val="244061"/>
              </w:rPr>
              <w:t xml:space="preserve">       </w:t>
            </w:r>
            <w:hyperlink w:history="true" r:id="R6dd5c96801f04357">
              <w:r>
                <w:rPr>
                  <w:rStyle w:val="Hyperlink"/>
                  <w:color w:val="244061"/>
                </w:rPr>
                <w:t xml:space="preserve">Housing assistance</w:t>
              </w:r>
            </w:hyperlink>
            <w:r>
              <w:rPr>
                <w:rStyle w:val="row-content"/>
                <w:color w:val="244061"/>
              </w:rPr>
              <w:t xml:space="preserve">, Superseded 26/08/2014</w:t>
            </w:r>
          </w:p>
          <w:p>
            <w:r>
              <w:br/>
            </w:r>
            <w:r>
              <w:rPr>
                <w:rStyle w:val="row-content"/>
              </w:rPr>
              <w:t xml:space="preserve">Has been superseded by </w:t>
            </w:r>
            <w:hyperlink w:history="true" r:id="R4ae4816e76ae431f">
              <w:r>
                <w:rPr>
                  <w:rStyle w:val="Hyperlink"/>
                </w:rPr>
                <w:t xml:space="preserve">Private rent assistance DSS 2013-</w:t>
              </w:r>
            </w:hyperlink>
          </w:p>
          <w:p>
            <w:pPr>
              <w:spacing w:before="0" w:after="0"/>
            </w:pPr>
            <w:r>
              <w:rPr>
                <w:rStyle w:val="row-content"/>
                <w:color w:val="244061"/>
              </w:rPr>
              <w:t xml:space="preserve">       </w:t>
            </w:r>
            <w:hyperlink w:history="true" r:id="Rc1f23d82bfdb4de9">
              <w:r>
                <w:rPr>
                  <w:rStyle w:val="Hyperlink"/>
                  <w:color w:val="244061"/>
                </w:rPr>
                <w:t xml:space="preserve">Housing assistance</w:t>
              </w:r>
            </w:hyperlink>
            <w:r>
              <w:rPr>
                <w:rStyle w:val="row-content"/>
                <w:color w:val="244061"/>
              </w:rPr>
              <w:t xml:space="preserve">, Standard 30/08/2017</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d590a14cab54ffb">
                    <w:r>
                      <w:rPr>
                        <w:rStyle w:val="Hyperlink"/>
                      </w:rPr>
                      <w:t xml:space="preserve">Address—Australian postcode, Australian postcode code (Postcode datafile) {NNNN}</w:t>
                    </w:r>
                  </w:hyperlink>
                </w:p>
                <w:p>
                  <w:r>
                    <w:rPr>
                      <w:b/>
                      <w:i/>
                      <w:color w:val="333333"/>
                    </w:rPr>
                    <w:t xml:space="preserve">DSS specific information:</w:t>
                  </w:r>
                </w:p>
                <w:p>
                  <w:r>
                    <w:t xml:space="preserve">This item is used to collect the dwelling postcode.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4d14f0438e34167">
                    <w:r>
                      <w:rPr>
                        <w:rStyle w:val="Hyperlink"/>
                      </w:rPr>
                      <w:t xml:space="preserve">Address—suburb/town/locality name, text X[X(45)]</w:t>
                    </w:r>
                  </w:hyperlink>
                </w:p>
                <w:p>
                  <w:r>
                    <w:rPr>
                      <w:b/>
                      <w:i/>
                      <w:color w:val="333333"/>
                    </w:rPr>
                    <w:t xml:space="preserve">DSS specific information:</w:t>
                  </w:r>
                </w:p>
                <w:p>
                  <w:r>
                    <w:t xml:space="preserve">This item is used to collect the suburb or locality in which the dwelling is located. This field may be truncated to 15 characters by this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f267d263f97421c">
                    <w:r>
                      <w:rPr>
                        <w:rStyle w:val="Hyperlink"/>
                      </w:rPr>
                      <w:t xml:space="preserve">Dwelling—Australian state/territory identifier, code N</w:t>
                    </w:r>
                  </w:hyperlink>
                </w:p>
                <w:p>
                  <w:r>
                    <w:rPr>
                      <w:b/>
                      <w:i/>
                      <w:color w:val="333333"/>
                    </w:rPr>
                    <w:t xml:space="preserve">DSS specific information:</w:t>
                  </w:r>
                </w:p>
                <w:p>
                  <w:r>
                    <w:t xml:space="preserve">The code "9" = Other territories (Cocos (Keeling) Islands, Christmas Island and Jervis Bay Territory) is not used by this collection.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aec5b6dc4f04d19">
                    <w:r>
                      <w:rPr>
                        <w:rStyle w:val="Hyperlink"/>
                      </w:rPr>
                      <w:t xml:space="preserve">Household—financial assistance amount received, total Australian currency N[NNNNN].NN</w:t>
                    </w:r>
                  </w:hyperlink>
                </w:p>
                <w:p>
                  <w:r>
                    <w:rPr>
                      <w:b/>
                      <w:i/>
                      <w:color w:val="333333"/>
                    </w:rPr>
                    <w:t xml:space="preserve">DSS specific information:</w:t>
                  </w:r>
                </w:p>
                <w:p>
                  <w:r>
                    <w:t xml:space="preserve">Only assistance provided between 01/07/2012 and 30/06/2013 should be included. Assistance before or after this date should be excluded.</w:t>
                  </w:r>
                </w:p>
                <w:p>
                  <w:r>
                    <w:t xml:space="preserve">For those households who commenced receiving assistance in a previous financial year (i.e. prior to 1 July 2012) and they continued to receive this assistance, include only the value of assistance provided for the year ending 30 June 2013 (i.e. disregard the value of assistance provided prior to 1 July 2012).</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80ad732a50e4e58">
                    <w:r>
                      <w:rPr>
                        <w:rStyle w:val="Hyperlink"/>
                      </w:rPr>
                      <w:t xml:space="preserve">Household—gross income (weekly), total Australian currency N[NNNNN].NN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48611b15dd44984">
                    <w:r>
                      <w:rPr>
                        <w:rStyle w:val="Hyperlink"/>
                      </w:rPr>
                      <w:t xml:space="preserve">Household—household identifier, X[X(14)]</w:t>
                    </w:r>
                  </w:hyperlink>
                </w:p>
                <w:p>
                  <w:r>
                    <w:rPr>
                      <w:b/>
                      <w:i/>
                      <w:color w:val="333333"/>
                    </w:rPr>
                    <w:t xml:space="preserve">DSS specific information:</w:t>
                  </w:r>
                </w:p>
                <w:p>
                  <w:r>
                    <w:t xml:space="preserve">For the purposes of this collection, a unique household identifier may be assigned by jurisdictions by prefixing the assistance agency’s unique household identifier with a unique agency identifier.  This modification provides for the contingency that assistance agencies coincidentally assign identical identifiers that would otherwise lead to distinct households having the same household identifier.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e0b3c3d70514791">
                    <w:r>
                      <w:rPr>
                        <w:rStyle w:val="Hyperlink"/>
                      </w:rPr>
                      <w:t xml:space="preserve">Household—Indigenous status,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be1ceb9572f43f9">
                    <w:r>
                      <w:rPr>
                        <w:rStyle w:val="Hyperlink"/>
                      </w:rPr>
                      <w:t xml:space="preserve">Household—principal source of cash income, (housing assistance) code N[.N.N]</w:t>
                    </w:r>
                  </w:hyperlink>
                </w:p>
                <w:p>
                  <w:r>
                    <w:rPr>
                      <w:b/>
                      <w:i/>
                      <w:color w:val="333333"/>
                    </w:rPr>
                    <w:t xml:space="preserve">DSS specific information:</w:t>
                  </w:r>
                </w:p>
                <w:p>
                  <w:r>
                    <w:t xml:space="preserve"> Code ‘5’ is not a permissible value in this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daa503bb0ec490f">
                    <w:r>
                      <w:rPr>
                        <w:rStyle w:val="Hyperlink"/>
                      </w:rPr>
                      <w:t xml:space="preserve">Household—rent paid (weekly), total Australian currency N[NNNNN].NN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b812a3bf7e74ddd">
                    <w:r>
                      <w:rPr>
                        <w:rStyle w:val="Hyperlink"/>
                      </w:rPr>
                      <w:t xml:space="preserve">Person—date of birth, DDMMYYYY</w:t>
                    </w:r>
                  </w:hyperlink>
                </w:p>
                <w:p>
                  <w:r>
                    <w:rPr>
                      <w:b/>
                      <w:i/>
                      <w:color w:val="333333"/>
                    </w:rPr>
                    <w:t xml:space="preserve">DSS specific information:</w:t>
                  </w:r>
                </w:p>
                <w:p>
                  <w:r>
                    <w:t xml:space="preserve">This collection requires a non-standard format for this data item: DD/MM/YYYY.</w:t>
                  </w:r>
                </w:p>
                <w:p>
                  <w:r>
                    <w:t xml:space="preserve">This item refers to the date of birth of the main applicant.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564ed5fcbab4adc">
                    <w:r>
                      <w:rPr>
                        <w:rStyle w:val="Hyperlink"/>
                      </w:rPr>
                      <w:t xml:space="preserve">Person—person identifier (household), X[X(14)]</w:t>
                    </w:r>
                  </w:hyperlink>
                </w:p>
                <w:p>
                  <w:r>
                    <w:rPr>
                      <w:b/>
                      <w:i/>
                      <w:color w:val="333333"/>
                    </w:rPr>
                    <w:t xml:space="preserve">DSS specific information:</w:t>
                  </w:r>
                </w:p>
                <w:p>
                  <w:r>
                    <w:t xml:space="preserve">In the Private Rental Assistance collection, this item refers to the unique identifier for the main applicant.</w:t>
                  </w:r>
                </w:p>
                <w:p>
                  <w:r>
                    <w:t xml:space="preserve">The main applicant identifier should be the same person identifier that is used by the social housing authority across different housing programs. This field may be used to link private rent assistance records with corresponding public rental housing, state owned and managed Indigenous housing, and/or home purchase assistance records. If no such identifier exists, this field should be left blank.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df0efbc76aa4774">
                    <w:r>
                      <w:rPr>
                        <w:rStyle w:val="Hyperlink"/>
                      </w:rPr>
                      <w:t xml:space="preserve">Person—sex, code N</w:t>
                    </w:r>
                  </w:hyperlink>
                </w:p>
                <w:p>
                  <w:r>
                    <w:rPr>
                      <w:b/>
                      <w:i/>
                      <w:color w:val="333333"/>
                    </w:rPr>
                    <w:t xml:space="preserve">DSS specific information:</w:t>
                  </w:r>
                </w:p>
                <w:p>
                  <w:r>
                    <w:t xml:space="preserve">In the Private Rental Assistance collection, this item refers to the sex of the main applicant.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15398695bfc41e2">
                    <w:r>
                      <w:rPr>
                        <w:rStyle w:val="Hyperlink"/>
                      </w:rPr>
                      <w:t xml:space="preserve">Service event—assistance received date, DDMMYYYY</w:t>
                    </w:r>
                  </w:hyperlink>
                </w:p>
                <w:p>
                  <w:r>
                    <w:rPr>
                      <w:b/>
                      <w:i/>
                      <w:color w:val="333333"/>
                    </w:rPr>
                    <w:t xml:space="preserve">DSS specific information:</w:t>
                  </w:r>
                </w:p>
                <w:p>
                  <w:r>
                    <w:t xml:space="preserve">For those households who commenced receiving ongoing assistance in a previous financial year (i.e. prior to 1 July 2012) and they continued to receive this assistance, report the originating date of the assistance (i.e. the date the household first received the assistance).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8a21add5ae84562">
                    <w:r>
                      <w:rPr>
                        <w:rStyle w:val="Hyperlink"/>
                      </w:rPr>
                      <w:t xml:space="preserve">Service event—assistance type, private rent assistance code N[N]</w:t>
                    </w:r>
                  </w:hyperlink>
                </w:p>
                <w:p>
                  <w:r>
                    <w:rPr>
                      <w:b/>
                      <w:i/>
                      <w:color w:val="333333"/>
                    </w:rPr>
                    <w:t xml:space="preserve">DSS specific information:</w:t>
                  </w:r>
                </w:p>
                <w:p>
                  <w:r>
                    <w:t xml:space="preserve">The permissible values in the PRA collection differ from the standard.  PRA permissible values are:</w:t>
                  </w:r>
                </w:p>
                <w:p>
                  <w:r>
                    <w:t xml:space="preserve"> </w:t>
                  </w:r>
                </w:p>
                <w:tbl>
                  <w:tblPr>
                    <w:tblStyle w:val="InnerTable"/>
                    <w:tblW w:w="0" w:type="auto"/>
                    <w:tblBorders>
                      <w:top w:val="none"/>
                      <w:left w:val="none"/>
                      <w:bottom w:val="none"/>
                      <w:right w:val="none"/>
                      <w:insideH w:val="none"/>
                      <w:insideV w:val="none"/>
                    </w:tblBorders>
                  </w:tblPr>
                  <w:tblGrid>
                    <w:gridCol/>
                    <w:gridCol/>
                  </w:tblGrid>
                  <w:tr>
                    <w:trPr/>
                    <w:tc>
                      <w:tcPr>
                        <w:vAlign w:val="top"/>
                      </w:tcPr>
                      <w:p>
                        <w:r>
                          <w:t xml:space="preserve">Value</w:t>
                        </w:r>
                      </w:p>
                    </w:tc>
                    <w:tc>
                      <w:tcPr>
                        <w:vAlign w:val="top"/>
                      </w:tcPr>
                      <w:p>
                        <w:r>
                          <w:t xml:space="preserve">Meaning</w:t>
                        </w:r>
                      </w:p>
                    </w:tc>
                  </w:tr>
                  <w:tr>
                    <w:trPr/>
                    <w:tc>
                      <w:tcPr>
                        <w:vAlign w:val="top"/>
                      </w:tcPr>
                      <w:p>
                        <w:r>
                          <w:t xml:space="preserve">1</w:t>
                        </w:r>
                      </w:p>
                    </w:tc>
                    <w:tc>
                      <w:tcPr>
                        <w:vAlign w:val="top"/>
                      </w:tcPr>
                      <w:p>
                        <w:r>
                          <w:t xml:space="preserve">Bond loan</w:t>
                        </w:r>
                      </w:p>
                    </w:tc>
                  </w:tr>
                  <w:tr>
                    <w:trPr/>
                    <w:tc>
                      <w:tcPr>
                        <w:vAlign w:val="top"/>
                      </w:tcPr>
                      <w:p>
                        <w:r>
                          <w:t xml:space="preserve">2</w:t>
                        </w:r>
                      </w:p>
                    </w:tc>
                    <w:tc>
                      <w:tcPr>
                        <w:vAlign w:val="top"/>
                      </w:tcPr>
                      <w:p>
                        <w:r>
                          <w:t xml:space="preserve">Rental grant-one off</w:t>
                        </w:r>
                      </w:p>
                    </w:tc>
                  </w:tr>
                  <w:tr>
                    <w:trPr/>
                    <w:tc>
                      <w:tcPr>
                        <w:vAlign w:val="top"/>
                      </w:tcPr>
                      <w:p>
                        <w:r>
                          <w:t xml:space="preserve">3</w:t>
                        </w:r>
                      </w:p>
                    </w:tc>
                    <w:tc>
                      <w:tcPr>
                        <w:vAlign w:val="top"/>
                      </w:tcPr>
                      <w:p>
                        <w:r>
                          <w:t xml:space="preserve">Ongoing rental subsidy</w:t>
                        </w:r>
                      </w:p>
                    </w:tc>
                  </w:tr>
                  <w:tr>
                    <w:trPr/>
                    <w:tc>
                      <w:tcPr>
                        <w:vAlign w:val="top"/>
                      </w:tcPr>
                      <w:p>
                        <w:r>
                          <w:t xml:space="preserve">4</w:t>
                        </w:r>
                      </w:p>
                    </w:tc>
                    <w:tc>
                      <w:tcPr>
                        <w:vAlign w:val="top"/>
                      </w:tcPr>
                      <w:p>
                        <w:r>
                          <w:t xml:space="preserve">Relocation expenses</w:t>
                        </w:r>
                      </w:p>
                    </w:tc>
                  </w:tr>
                  <w:tr>
                    <w:trPr/>
                    <w:tc>
                      <w:tcPr>
                        <w:vAlign w:val="top"/>
                      </w:tcPr>
                      <w:p>
                        <w:r>
                          <w:t xml:space="preserve">99</w:t>
                        </w:r>
                      </w:p>
                    </w:tc>
                    <w:tc>
                      <w:tcPr>
                        <w:vAlign w:val="top"/>
                      </w:tcPr>
                      <w:p>
                        <w:r>
                          <w:t xml:space="preserve">Other</w:t>
                        </w:r>
                      </w:p>
                    </w:tc>
                  </w:tr>
                </w:tbl>
                <w:p>
                  <w:r>
                    <w:t xml:space="preserve"> </w:t>
                  </w:r>
                </w:p>
                <w:p>
                  <w:r>
                    <w:t xml:space="preserve">Code '88' is not a valid code in the HPA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56c730eb8a4145a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565255</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f13f7696120434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6c730eb8a4145ac" /><Relationship Type="http://schemas.openxmlformats.org/officeDocument/2006/relationships/header" Target="/word/header1.xml" Id="R5e6d279882ab4770" /><Relationship Type="http://schemas.openxmlformats.org/officeDocument/2006/relationships/settings" Target="/word/settings.xml" Id="R5d8210e811044ebe" /><Relationship Type="http://schemas.openxmlformats.org/officeDocument/2006/relationships/styles" Target="/word/styles.xml" Id="R8ae46e7a67774f5a" /><Relationship Type="http://schemas.openxmlformats.org/officeDocument/2006/relationships/hyperlink" Target="https://meteor.aihw.gov.au/RegistrationAuthority/11" TargetMode="External" Id="Ra59100df12f64982" /><Relationship Type="http://schemas.openxmlformats.org/officeDocument/2006/relationships/numbering" Target="/word/numbering.xml" Id="R9fd68fe4232d439f" /><Relationship Type="http://schemas.openxmlformats.org/officeDocument/2006/relationships/hyperlink" Target="https://meteor.aihw.gov.au/content/268977" TargetMode="External" Id="R2cea1cb3b04f49b7" /><Relationship Type="http://schemas.openxmlformats.org/officeDocument/2006/relationships/hyperlink" Target="https://meteor.aihw.gov.au/content/412857" TargetMode="External" Id="Rd4b1b08dd8b54ba2" /><Relationship Type="http://schemas.openxmlformats.org/officeDocument/2006/relationships/hyperlink" Target="https://meteor.aihw.gov.au/content/569729" TargetMode="External" Id="Rb99c950b73ec4b35" /><Relationship Type="http://schemas.openxmlformats.org/officeDocument/2006/relationships/hyperlink" Target="https://meteor.aihw.gov.au/content/480492" TargetMode="External" Id="Rf490b2454d854727" /><Relationship Type="http://schemas.openxmlformats.org/officeDocument/2006/relationships/hyperlink" Target="https://meteor.aihw.gov.au/RegistrationAuthority/11" TargetMode="External" Id="R6dd5c96801f04357" /><Relationship Type="http://schemas.openxmlformats.org/officeDocument/2006/relationships/hyperlink" Target="https://meteor.aihw.gov.au/content/596529" TargetMode="External" Id="R4ae4816e76ae431f" /><Relationship Type="http://schemas.openxmlformats.org/officeDocument/2006/relationships/hyperlink" Target="https://meteor.aihw.gov.au/RegistrationAuthority/11" TargetMode="External" Id="Rc1f23d82bfdb4de9" /><Relationship Type="http://schemas.openxmlformats.org/officeDocument/2006/relationships/hyperlink" Target="https://meteor.aihw.gov.au/content/429894" TargetMode="External" Id="R9d590a14cab54ffb" /><Relationship Type="http://schemas.openxmlformats.org/officeDocument/2006/relationships/hyperlink" Target="https://meteor.aihw.gov.au/content/429889" TargetMode="External" Id="R14d14f0438e34167" /><Relationship Type="http://schemas.openxmlformats.org/officeDocument/2006/relationships/hyperlink" Target="https://meteor.aihw.gov.au/content/302044" TargetMode="External" Id="Rcf267d263f97421c" /><Relationship Type="http://schemas.openxmlformats.org/officeDocument/2006/relationships/hyperlink" Target="https://meteor.aihw.gov.au/content/385254" TargetMode="External" Id="Rbaec5b6dc4f04d19" /><Relationship Type="http://schemas.openxmlformats.org/officeDocument/2006/relationships/hyperlink" Target="https://meteor.aihw.gov.au/content/452645" TargetMode="External" Id="R880ad732a50e4e58" /><Relationship Type="http://schemas.openxmlformats.org/officeDocument/2006/relationships/hyperlink" Target="https://meteor.aihw.gov.au/content/302662" TargetMode="External" Id="Rb48611b15dd44984" /><Relationship Type="http://schemas.openxmlformats.org/officeDocument/2006/relationships/hyperlink" Target="https://meteor.aihw.gov.au/content/460738" TargetMode="External" Id="R3e0b3c3d70514791" /><Relationship Type="http://schemas.openxmlformats.org/officeDocument/2006/relationships/hyperlink" Target="https://meteor.aihw.gov.au/content/386873" TargetMode="External" Id="R9be1ceb9572f43f9" /><Relationship Type="http://schemas.openxmlformats.org/officeDocument/2006/relationships/hyperlink" Target="https://meteor.aihw.gov.au/content/302612" TargetMode="External" Id="R1daa503bb0ec490f" /><Relationship Type="http://schemas.openxmlformats.org/officeDocument/2006/relationships/hyperlink" Target="https://meteor.aihw.gov.au/content/287007" TargetMode="External" Id="R4b812a3bf7e74ddd" /><Relationship Type="http://schemas.openxmlformats.org/officeDocument/2006/relationships/hyperlink" Target="https://meteor.aihw.gov.au/content/302678" TargetMode="External" Id="R6564ed5fcbab4adc" /><Relationship Type="http://schemas.openxmlformats.org/officeDocument/2006/relationships/hyperlink" Target="https://meteor.aihw.gov.au/content/287316" TargetMode="External" Id="Rddf0efbc76aa4774" /><Relationship Type="http://schemas.openxmlformats.org/officeDocument/2006/relationships/hyperlink" Target="https://meteor.aihw.gov.au/content/270042" TargetMode="External" Id="R815398695bfc41e2" /><Relationship Type="http://schemas.openxmlformats.org/officeDocument/2006/relationships/hyperlink" Target="https://meteor.aihw.gov.au/content/457778" TargetMode="External" Id="R58a21add5ae84562" /></Relationships>
</file>

<file path=word/_rels/header1.xml.rels>&#65279;<?xml version="1.0" encoding="utf-8"?><Relationships xmlns="http://schemas.openxmlformats.org/package/2006/relationships"><Relationship Type="http://schemas.openxmlformats.org/officeDocument/2006/relationships/image" Target="/media/image.png" Id="R5f13f76961204343" /></Relationships>
</file>