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e5b37449644daf" /></Relationships>
</file>

<file path=word/document.xml><?xml version="1.0" encoding="utf-8"?>
<w:document xmlns:r="http://schemas.openxmlformats.org/officeDocument/2006/relationships" xmlns:w="http://schemas.openxmlformats.org/wordprocessingml/2006/main">
  <w:body>
    <w:p>
      <w:pPr>
        <w:pStyle w:val="Title"/>
      </w:pPr>
      <w:r>
        <w:t>Bowel cancer diagnostic assessment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Bowel cancer diagnostic assessment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8d8b426b4a489a">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Bowel cancer diagnostic assessment cluster comprises a set of standardised data definitions used for monitoring the National Bowel Cancer Screening Program (NBCSP). This cluster includes information on people who participated in the NBCSP and received a positive screening result and then had a </w:t>
            </w:r>
            <w:hyperlink w:tooltip="A type of medical test or evaluation to determine whether a person has cancer." w:history="true" r:id="R80112d5bcd2d4e39">
              <w:r>
                <w:rPr>
                  <w:rStyle w:val="Hyperlink"/>
                  <w:b/>
                </w:rPr>
                <w:t xml:space="preserve">cancer diagnostic assessment</w:t>
              </w:r>
            </w:hyperlink>
            <w:r>
              <w:rPr>
                <w:rStyle w:val="row-content-rich-text"/>
              </w:rPr>
              <w:t xml:space="preserve">.</w:t>
            </w:r>
          </w:p>
          <w:p>
            <w:pPr>
              <w:spacing w:after="160"/>
            </w:pPr>
            <w:r>
              <w:rPr>
                <w:rStyle w:val="row-content-rich-text"/>
              </w:rPr>
              <w:t xml:space="preserve">This metadata set is not mandated for collection, i.e. it reflects best practice when collecting data in relation to bowel screening rather than a nationally mandated set of data items that must be provided.</w:t>
            </w:r>
          </w:p>
          <w:p>
            <w:pPr/>
            <w:r>
              <w:rPr>
                <w:rStyle w:val="row-content-rich-text"/>
              </w:rPr>
              <w:t xml:space="preserve">It is intended to be used by the National Bowel Cancer Screening Register. It can also be used by a wider range of health and health-related professionals who collect and/or use the data in relation to the NBCSP.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 either have participated in or will be participating in Bowel cancer screening programs and who have answered yes in relation to having undergone a cancer diagnostic assessment.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0d2c982f7c8419f">
              <w:r>
                <w:rPr>
                  <w:rStyle w:val="Hyperlink"/>
                </w:rPr>
                <w:t xml:space="preserve">Bowel cancer diagnostic assessment cluster</w:t>
              </w:r>
            </w:hyperlink>
          </w:p>
          <w:p>
            <w:pPr>
              <w:spacing w:before="0" w:after="0"/>
            </w:pPr>
            <w:r>
              <w:rPr>
                <w:rStyle w:val="row-content"/>
                <w:color w:val="244061"/>
              </w:rPr>
              <w:t xml:space="preserve">       </w:t>
            </w:r>
            <w:hyperlink w:history="true" r:id="Rbe56270ce85e491d">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9b8b4c263646cc">
              <w:r>
                <w:rPr>
                  <w:rStyle w:val="Hyperlink"/>
                </w:rPr>
                <w:t xml:space="preserve">National Bowel Cancer Screening Program NBEDS 2014-18</w:t>
              </w:r>
            </w:hyperlink>
          </w:p>
          <w:p>
            <w:pPr>
              <w:spacing w:before="0" w:after="0"/>
            </w:pPr>
            <w:r>
              <w:rPr>
                <w:rStyle w:val="row-content"/>
                <w:color w:val="244061"/>
              </w:rPr>
              <w:t xml:space="preserve">       </w:t>
            </w:r>
            <w:hyperlink w:history="true" r:id="R59a2817ce0f94218">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Reporting of the data elements in this cluster is conditional upon answering 'Yes' to the </w:t>
            </w:r>
            <w:hyperlink w:history="true" r:id="Rcda8e31f54ef4daf">
              <w:r>
                <w:rPr>
                  <w:rStyle w:val="Hyperlink"/>
                </w:rPr>
                <w:t xml:space="preserve">Person—cancer diagnostic assessment indicator, yes/no code N</w:t>
              </w:r>
            </w:hyperlink>
            <w:r>
              <w:rPr>
                <w:rStyle w:val="row-content"/>
              </w:rPr>
              <w:t xml:space="preserve"> data element.</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1eb2d5b6c5745ce">
                    <w:r>
                      <w:rPr>
                        <w:rStyle w:val="Hyperlink"/>
                      </w:rPr>
                      <w:t xml:space="preserve">Patient—cancer diagnostic assessment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d7eeac5580f4f84">
                    <w:r>
                      <w:rPr>
                        <w:rStyle w:val="Hyperlink"/>
                      </w:rPr>
                      <w:t xml:space="preserve">Patient—cancer diagnostic assessment type, bowel cancer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dc36dbf6a984b2c">
                    <w:r>
                      <w:rPr>
                        <w:rStyle w:val="Hyperlink"/>
                      </w:rPr>
                      <w:t xml:space="preserve">Establishment—Australian state/territory identifier, code N</w:t>
                    </w:r>
                  </w:hyperlink>
                </w:p>
                <w:p>
                  <w:r>
                    <w:rPr>
                      <w:b/>
                      <w:i/>
                      <w:color w:val="333333"/>
                    </w:rPr>
                    <w:t xml:space="preserve">DSS specific information:</w:t>
                  </w:r>
                </w:p>
                <w:p>
                  <w:r>
                    <w:t xml:space="preserve">This is the state in which a bowel cancer diagnostic assessment occurs. This can be different to the person's state or territory of usual residence, e.g. a person living in Queanbeyan (in NSW) may undergo a diagnostic assessment in Canberra, i.e. in the 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8e36d2074924ae2">
                    <w:r>
                      <w:rPr>
                        <w:rStyle w:val="Hyperlink"/>
                      </w:rPr>
                      <w:t xml:space="preserve">Patient—colonoscope withdrawal time, total minutes NNN</w:t>
                    </w:r>
                  </w:hyperlink>
                </w:p>
                <w:p>
                  <w:r>
                    <w:rPr>
                      <w:b/>
                      <w:i/>
                      <w:color w:val="333333"/>
                    </w:rPr>
                    <w:t xml:space="preserve">Conditional obligation:</w:t>
                  </w:r>
                </w:p>
                <w:p>
                  <w:r>
                    <w:t xml:space="preserve">Reporting of this data element is conditional upon answering 'Colonoscopy' to the </w:t>
                  </w:r>
                </w:p>
                <w:p>
                  <w:hyperlink w:history="true" r:id="R7d8b518c600d4b6b">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9193b1c3172d4a93">
                    <w:r>
                      <w:rPr>
                        <w:rStyle w:val="Hyperlink"/>
                      </w:rPr>
                      <w:t xml:space="preserve">Patient—colonoscope depth, anatomical site within the bowel code XX[XX]</w:t>
                    </w:r>
                  </w:hyperlink>
                </w:p>
                <w:p>
                  <w:r>
                    <w:rPr>
                      <w:b/>
                      <w:i/>
                      <w:color w:val="333333"/>
                    </w:rPr>
                    <w:t xml:space="preserve">Conditional obligation:</w:t>
                  </w:r>
                </w:p>
                <w:p>
                  <w:r>
                    <w:t xml:space="preserve">Reporting of this data element is conditional upon answering 'Colonoscopy' to the </w:t>
                  </w:r>
                </w:p>
                <w:p>
                  <w:hyperlink w:history="true" r:id="R4b2bf4dd9e834b22">
                    <w:r>
                      <w:rPr>
                        <w:rStyle w:val="Hyperlink"/>
                      </w:rPr>
                      <w:t xml:space="preserve">Person—cancer diagnostic assessment type, bowel cancer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75ae8370f9443e6">
                    <w:r>
                      <w:rPr>
                        <w:rStyle w:val="Hyperlink"/>
                      </w:rPr>
                      <w:t xml:space="preserve">Patient—election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a4b45e0eace40d4">
                    <w:r>
                      <w:rPr>
                        <w:rStyle w:val="Hyperlink"/>
                      </w:rPr>
                      <w:t xml:space="preserve">Patient—sedation received indicator, yes/no code N</w:t>
                    </w:r>
                  </w:hyperlink>
                </w:p>
                <w:p>
                  <w:r>
                    <w:rPr>
                      <w:b/>
                      <w:i/>
                      <w:color w:val="333333"/>
                    </w:rPr>
                    <w:t xml:space="preserve">DSS specific information:</w:t>
                  </w:r>
                </w:p>
                <w:p>
                  <w:r>
                    <w:t xml:space="preserve">The level of sedation used should comply with ANZCA standards (ANZCA 2010). The level of sedation used should generally be related to the risk of complications for each individual patient as documented in the pre-procedure patient assessment. Further, deep sedation and general anaesthesia may only be used in the presence of an anaesthetist or other appropriately trained and credentialed medical specialist within his/her scope of practice. Non‑anaesthetist medical staff require adequate training in the safe and correct usage of sedation equipment and drugs, and in the management and monitoring of sedated patients in accordance with the guidelines.</w:t>
                  </w:r>
                </w:p>
                <w:p>
                  <w:r>
                    <w:t xml:space="preserve"> </w:t>
                  </w:r>
                </w:p>
                <w:p>
                  <w:r>
                    <w:t xml:space="preserve">Reference:</w:t>
                  </w:r>
                </w:p>
                <w:p>
                  <w:r>
                    <w:t xml:space="preserve">ANZCA (Australian and New Zealand College of Anaesthetists) 2010. Guidelines on Sedation and/or Analgesia for Diagnostic and Interventional Medical, Dental or Surgical Procedures. Viewed 23 March 2012,</w:t>
                  </w:r>
                </w:p>
                <w:p>
                  <w:hyperlink w:history="true" r:id="Re7fc40e3f77b437a">
                    <w:r>
                      <w:rPr>
                        <w:rStyle w:val="Hyperlink"/>
                      </w:rPr>
                      <w:t xml:space="preserve">www.anzca.edu.au/resources/professional-documents/documents/</w:t>
                    </w:r>
                    <w:r>
                      <w:br/>
                    </w:r>
                    <w:r>
                      <w:t xml:space="preserve">professional-standards/pdf-files/PS9-2010.pdf</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a4b5e29f692d4d34">
                    <w:r>
                      <w:rPr>
                        <w:rStyle w:val="Hyperlink"/>
                      </w:rPr>
                      <w:t xml:space="preserve">Patient—sedation type, code N</w:t>
                    </w:r>
                  </w:hyperlink>
                </w:p>
                <w:p>
                  <w:r>
                    <w:rPr>
                      <w:b/>
                      <w:i/>
                      <w:color w:val="333333"/>
                    </w:rPr>
                    <w:t xml:space="preserve">Conditional obligation:</w:t>
                  </w:r>
                </w:p>
                <w:p>
                  <w:r>
                    <w:t xml:space="preserve">Reporting of this data element is conditional upon answering 'Yes' to the </w:t>
                  </w:r>
                </w:p>
                <w:p>
                  <w:hyperlink w:history="true" r:id="R1b6da64c14c14ee6">
                    <w:r>
                      <w:rPr>
                        <w:rStyle w:val="Hyperlink"/>
                      </w:rPr>
                      <w:t xml:space="preserve">Patient—sedation received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ee72a0583c24462">
                    <w:r>
                      <w:rPr>
                        <w:rStyle w:val="Hyperlink"/>
                      </w:rPr>
                      <w:t xml:space="preserve">Patient—type of health professional who administers sedation, bowel cancer diagnostic assessment code N</w:t>
                    </w:r>
                  </w:hyperlink>
                </w:p>
                <w:p>
                  <w:r>
                    <w:rPr>
                      <w:b/>
                      <w:i/>
                      <w:color w:val="333333"/>
                    </w:rPr>
                    <w:t xml:space="preserve">Conditional obligation:</w:t>
                  </w:r>
                </w:p>
                <w:p>
                  <w:r>
                    <w:t xml:space="preserve">Reporting of this data element is conditional upon answering 'Yes' to the </w:t>
                  </w:r>
                </w:p>
                <w:p>
                  <w:hyperlink w:history="true" r:id="Re49702118fd44eb2">
                    <w:r>
                      <w:rPr>
                        <w:rStyle w:val="Hyperlink"/>
                      </w:rPr>
                      <w:t xml:space="preserve">Patient—sedation recieved indicator, yes/no code 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fa9649361f84eb7">
                    <w:r>
                      <w:rPr>
                        <w:rStyle w:val="Hyperlink"/>
                      </w:rPr>
                      <w:t xml:space="preserve">Patient—colorectal polyps found in colon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15e32d547055480e">
                    <w:r>
                      <w:rPr>
                        <w:rStyle w:val="Hyperlink"/>
                      </w:rPr>
                      <w:t xml:space="preserve">Patient—number of colorectal polyps found, number N[NN]</w:t>
                    </w:r>
                  </w:hyperlink>
                </w:p>
                <w:p>
                  <w:r>
                    <w:rPr>
                      <w:b/>
                      <w:i/>
                      <w:color w:val="333333"/>
                    </w:rPr>
                    <w:t xml:space="preserve">Conditional obligation:</w:t>
                  </w:r>
                </w:p>
                <w:p>
                  <w:r>
                    <w:t xml:space="preserve">Reporting of this data element is conditional upon answering 'Yes' to the </w:t>
                  </w:r>
                  <w:hyperlink w:history="true" r:id="R77d9b4aefeeb4398">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27a479d7cbe4d15">
                    <w:r>
                      <w:rPr>
                        <w:rStyle w:val="Hyperlink"/>
                      </w:rPr>
                      <w:t xml:space="preserve">Patient—colorectal polyps greater than or equal to 10 mm indicator, Yes/no code N</w:t>
                    </w:r>
                  </w:hyperlink>
                </w:p>
                <w:p>
                  <w:r>
                    <w:rPr>
                      <w:b/>
                      <w:i/>
                      <w:color w:val="333333"/>
                    </w:rPr>
                    <w:t xml:space="preserve">Conditional obligation:</w:t>
                  </w:r>
                </w:p>
                <w:p>
                  <w:r>
                    <w:t xml:space="preserve">Reporting of this data element is conditional upon answering 'Yes' to the </w:t>
                  </w:r>
                  <w:hyperlink w:history="true" r:id="Ra82d46f09f5a47f8">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58285a20d58a4486">
                    <w:r>
                      <w:rPr>
                        <w:rStyle w:val="Hyperlink"/>
                      </w:rPr>
                      <w:t xml:space="preserve">Patient—anatomical site of colorectal polyps, code XX[XX]</w:t>
                    </w:r>
                  </w:hyperlink>
                </w:p>
                <w:p>
                  <w:r>
                    <w:rPr>
                      <w:b/>
                      <w:i/>
                      <w:color w:val="333333"/>
                    </w:rPr>
                    <w:t xml:space="preserve">Conditional obligation:</w:t>
                  </w:r>
                </w:p>
                <w:p>
                  <w:r>
                    <w:t xml:space="preserve">Reporting of this data element is conditional upon answering 'Yes' to the </w:t>
                  </w:r>
                  <w:hyperlink w:history="true" r:id="R5875ab87dcbf467b">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89cc4d11b9c4656">
                    <w:r>
                      <w:rPr>
                        <w:rStyle w:val="Hyperlink"/>
                      </w:rPr>
                      <w:t xml:space="preserve">Patient—colorectal polyp type, code N[N]</w:t>
                    </w:r>
                  </w:hyperlink>
                </w:p>
                <w:p>
                  <w:r>
                    <w:rPr>
                      <w:b/>
                      <w:i/>
                      <w:color w:val="333333"/>
                    </w:rPr>
                    <w:t xml:space="preserve">Conditional obligation:</w:t>
                  </w:r>
                </w:p>
                <w:p>
                  <w:r>
                    <w:t xml:space="preserve">Reporting of this data element is conditional upon answering 'Yes' to the </w:t>
                  </w:r>
                  <w:hyperlink w:history="true" r:id="R497f7d7bcf75468a">
                    <w:r>
                      <w:rPr>
                        <w:rStyle w:val="Hyperlink"/>
                      </w:rPr>
                      <w:t xml:space="preserve">Patient—colorectal polyps found in colon indicator,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99e647e98a1e4339">
                    <w:r>
                      <w:rPr>
                        <w:rStyle w:val="Hyperlink"/>
                      </w:rPr>
                      <w:t xml:space="preserve">Patient—grade of colorectal polyps found, code N</w:t>
                    </w:r>
                  </w:hyperlink>
                </w:p>
                <w:p>
                  <w:r>
                    <w:rPr>
                      <w:b/>
                      <w:i/>
                      <w:color w:val="333333"/>
                    </w:rPr>
                    <w:t xml:space="preserve">Conditional obligation:</w:t>
                  </w:r>
                </w:p>
                <w:p>
                  <w:r>
                    <w:t xml:space="preserve">Reporting of this data element is conditional upon answering 'Yes' to the </w:t>
                  </w:r>
                  <w:hyperlink w:history="true" r:id="R9a14556081dd4b0f">
                    <w:r>
                      <w:rPr>
                        <w:rStyle w:val="Hyperlink"/>
                      </w:rPr>
                      <w:t xml:space="preserve">Person—colorectal polyps found in colon, yes/no code N</w:t>
                    </w:r>
                  </w:hyperlink>
                  <w:r>
                    <w:t xml:space="preserve"> data element.</w:t>
                  </w:r>
                </w:p>
                <w:p>
                  <w:r>
                    <w:rPr>
                      <w:b/>
                      <w:i/>
                      <w:color w:val="333333"/>
                    </w:rPr>
                    <w:t xml:space="preserve">DSS specific information:</w:t>
                  </w:r>
                </w:p>
                <w:p>
                  <w:r>
                    <w:t xml:space="preserve">There could be multiple polyps listed if multiple polyps are found during an assessment.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fcc8c2b0f8d34e64">
                    <w:r>
                      <w:rPr>
                        <w:rStyle w:val="Hyperlink"/>
                      </w:rPr>
                      <w:t xml:space="preserve">Patient—adverse event indicator, yes/no code N</w:t>
                    </w:r>
                  </w:hyperlink>
                </w:p>
                <w:p>
                  <w:r>
                    <w:rPr>
                      <w:b/>
                      <w:i/>
                      <w:color w:val="333333"/>
                    </w:rPr>
                    <w:t xml:space="preserve">DSS specific information:</w:t>
                  </w:r>
                </w:p>
                <w:p>
                  <w:r>
                    <w:t xml:space="preserve">There is the risk of an adverse event occurring during a cancer diagnostic assessment. Monitoring of adverse events through the NBCSP is important to ensure participant safety in the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b6c0c76f5e354379">
                    <w:r>
                      <w:rPr>
                        <w:rStyle w:val="Hyperlink"/>
                      </w:rPr>
                      <w:t xml:space="preserve">Patient—type of adverse event, bowel cancer diagnostic assessment adverse event code N[N]</w:t>
                    </w:r>
                  </w:hyperlink>
                </w:p>
                <w:p>
                  <w:r>
                    <w:rPr>
                      <w:b/>
                      <w:i/>
                      <w:color w:val="333333"/>
                    </w:rPr>
                    <w:t xml:space="preserve">Conditional obligation:</w:t>
                  </w:r>
                </w:p>
                <w:p>
                  <w:r>
                    <w:t xml:space="preserve">Reporting of this data element is conditional upon answering 'Yes' to the </w:t>
                  </w:r>
                  <w:hyperlink w:history="true" r:id="Re6b96b46625d4154">
                    <w:r>
                      <w:rPr>
                        <w:rStyle w:val="Hyperlink"/>
                      </w:rPr>
                      <w:t xml:space="preserve">Person—adverse event indicator, yes/no code N</w:t>
                    </w:r>
                  </w:hyperlink>
                  <w:r>
                    <w:t xml:space="preserve"> data element.</w:t>
                  </w:r>
                </w:p>
                <w:p>
                  <w:r>
                    <w:rPr>
                      <w:b/>
                      <w:i/>
                      <w:color w:val="333333"/>
                    </w:rPr>
                    <w:t xml:space="preserve">DSS specific information:</w:t>
                  </w:r>
                </w:p>
                <w:p>
                  <w:r>
                    <w:t xml:space="preserve">In this data element cluster, Code 32 is used to represent Code 88, Other.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58af23d73ec440f">
                    <w:r>
                      <w:rPr>
                        <w:rStyle w:val="Hyperlink"/>
                      </w:rPr>
                      <w:t xml:space="preserve">Patient—cancer status, code N</w:t>
                    </w:r>
                  </w:hyperlink>
                </w:p>
                <w:p>
                  <w:r>
                    <w:rPr>
                      <w:b/>
                      <w:i/>
                      <w:color w:val="333333"/>
                    </w:rPr>
                    <w:t xml:space="preserve">DSS specific information:</w:t>
                  </w:r>
                </w:p>
                <w:p>
                  <w:r>
                    <w:t xml:space="preserve">Codes 8 and 9 are not used in the Bowel cancer diagnostic assessment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3eb7f11015749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563761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3100628259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eb7f1101574995" /><Relationship Type="http://schemas.openxmlformats.org/officeDocument/2006/relationships/header" Target="/word/header1.xml" Id="R5594b81610a74fe0" /><Relationship Type="http://schemas.openxmlformats.org/officeDocument/2006/relationships/settings" Target="/word/settings.xml" Id="Rd026888677e54b99" /><Relationship Type="http://schemas.openxmlformats.org/officeDocument/2006/relationships/styles" Target="/word/styles.xml" Id="R79ff5ad5e6e14d8f" /><Relationship Type="http://schemas.openxmlformats.org/officeDocument/2006/relationships/hyperlink" Target="https://meteor.aihw.gov.au/RegistrationAuthority/12" TargetMode="External" Id="R8f8d8b426b4a489a" /><Relationship Type="http://schemas.openxmlformats.org/officeDocument/2006/relationships/hyperlink" Target="https://meteor.aihw.gov.au/content/564074" TargetMode="External" Id="R80112d5bcd2d4e39" /><Relationship Type="http://schemas.openxmlformats.org/officeDocument/2006/relationships/hyperlink" Target="https://meteor.aihw.gov.au/content/695220" TargetMode="External" Id="Rc0d2c982f7c8419f" /><Relationship Type="http://schemas.openxmlformats.org/officeDocument/2006/relationships/hyperlink" Target="https://meteor.aihw.gov.au/RegistrationAuthority/12" TargetMode="External" Id="Rbe56270ce85e491d" /><Relationship Type="http://schemas.openxmlformats.org/officeDocument/2006/relationships/hyperlink" Target="https://meteor.aihw.gov.au/content/529201" TargetMode="External" Id="R9e9b8b4c263646cc" /><Relationship Type="http://schemas.openxmlformats.org/officeDocument/2006/relationships/hyperlink" Target="https://meteor.aihw.gov.au/RegistrationAuthority/12" TargetMode="External" Id="R59a2817ce0f94218" /><Relationship Type="http://schemas.openxmlformats.org/officeDocument/2006/relationships/hyperlink" Target="https://meteor.aihw.gov.au/content/563770" TargetMode="External" Id="Rcda8e31f54ef4daf" /><Relationship Type="http://schemas.openxmlformats.org/officeDocument/2006/relationships/hyperlink" Target="https://meteor.aihw.gov.au/content/530106" TargetMode="External" Id="Rf1eb2d5b6c5745ce" /><Relationship Type="http://schemas.openxmlformats.org/officeDocument/2006/relationships/hyperlink" Target="https://meteor.aihw.gov.au/content/530093" TargetMode="External" Id="Rdd7eeac5580f4f84" /><Relationship Type="http://schemas.openxmlformats.org/officeDocument/2006/relationships/hyperlink" Target="https://meteor.aihw.gov.au/content/269941" TargetMode="External" Id="Radc36dbf6a984b2c" /><Relationship Type="http://schemas.openxmlformats.org/officeDocument/2006/relationships/hyperlink" Target="https://meteor.aihw.gov.au/content/530145" TargetMode="External" Id="Rc8e36d2074924ae2" /><Relationship Type="http://schemas.openxmlformats.org/officeDocument/2006/relationships/hyperlink" Target="https://meteor.aihw.gov.au/content/530093" TargetMode="External" Id="R7d8b518c600d4b6b" /><Relationship Type="http://schemas.openxmlformats.org/officeDocument/2006/relationships/hyperlink" Target="https://meteor.aihw.gov.au/content/530159" TargetMode="External" Id="R9193b1c3172d4a93" /><Relationship Type="http://schemas.openxmlformats.org/officeDocument/2006/relationships/hyperlink" Target="https://meteor.aihw.gov.au/content/530093" TargetMode="External" Id="R4b2bf4dd9e834b22" /><Relationship Type="http://schemas.openxmlformats.org/officeDocument/2006/relationships/hyperlink" Target="https://meteor.aihw.gov.au/content/566135" TargetMode="External" Id="R275ae8370f9443e6" /><Relationship Type="http://schemas.openxmlformats.org/officeDocument/2006/relationships/hyperlink" Target="https://meteor.aihw.gov.au/content/563828" TargetMode="External" Id="R0a4b45e0eace40d4" /><Relationship Type="http://schemas.openxmlformats.org/officeDocument/2006/relationships/hyperlink" Target="http://www.anzca.edu.au/resources/professional-documents/documents/professional-standards/pdf-files/PS9-2010.pdf" TargetMode="External" Id="Re7fc40e3f77b437a" /><Relationship Type="http://schemas.openxmlformats.org/officeDocument/2006/relationships/hyperlink" Target="https://meteor.aihw.gov.au/content/530119" TargetMode="External" Id="Ra4b5e29f692d4d34" /><Relationship Type="http://schemas.openxmlformats.org/officeDocument/2006/relationships/hyperlink" Target="https://meteor.aihw.gov.au/content/563828" TargetMode="External" Id="R1b6da64c14c14ee6" /><Relationship Type="http://schemas.openxmlformats.org/officeDocument/2006/relationships/hyperlink" Target="https://meteor.aihw.gov.au/content/530135" TargetMode="External" Id="Rbee72a0583c24462" /><Relationship Type="http://schemas.openxmlformats.org/officeDocument/2006/relationships/hyperlink" Target="https://meteor.aihw.gov.au/content/563828" TargetMode="External" Id="Re49702118fd44eb2" /><Relationship Type="http://schemas.openxmlformats.org/officeDocument/2006/relationships/hyperlink" Target="https://meteor.aihw.gov.au/content/530230" TargetMode="External" Id="Rbfa9649361f84eb7" /><Relationship Type="http://schemas.openxmlformats.org/officeDocument/2006/relationships/hyperlink" Target="https://meteor.aihw.gov.au/content/530387" TargetMode="External" Id="R15e32d547055480e" /><Relationship Type="http://schemas.openxmlformats.org/officeDocument/2006/relationships/hyperlink" Target="https://meteor.aihw.gov.au/content/530230" TargetMode="External" Id="R77d9b4aefeeb4398" /><Relationship Type="http://schemas.openxmlformats.org/officeDocument/2006/relationships/hyperlink" Target="https://meteor.aihw.gov.au/content/530295" TargetMode="External" Id="R627a479d7cbe4d15" /><Relationship Type="http://schemas.openxmlformats.org/officeDocument/2006/relationships/hyperlink" Target="https://meteor.aihw.gov.au/content/530230" TargetMode="External" Id="Ra82d46f09f5a47f8" /><Relationship Type="http://schemas.openxmlformats.org/officeDocument/2006/relationships/hyperlink" Target="https://meteor.aihw.gov.au/content/530510" TargetMode="External" Id="R58285a20d58a4486" /><Relationship Type="http://schemas.openxmlformats.org/officeDocument/2006/relationships/hyperlink" Target="https://meteor.aihw.gov.au/content/530230" TargetMode="External" Id="R5875ab87dcbf467b" /><Relationship Type="http://schemas.openxmlformats.org/officeDocument/2006/relationships/hyperlink" Target="https://meteor.aihw.gov.au/content/530385" TargetMode="External" Id="Re89cc4d11b9c4656" /><Relationship Type="http://schemas.openxmlformats.org/officeDocument/2006/relationships/hyperlink" Target="https://meteor.aihw.gov.au/content/530230" TargetMode="External" Id="R497f7d7bcf75468a" /><Relationship Type="http://schemas.openxmlformats.org/officeDocument/2006/relationships/hyperlink" Target="https://meteor.aihw.gov.au/content/530490" TargetMode="External" Id="R99e647e98a1e4339" /><Relationship Type="http://schemas.openxmlformats.org/officeDocument/2006/relationships/hyperlink" Target="https://meteor.aihw.gov.au/content/530230" TargetMode="External" Id="R9a14556081dd4b0f" /><Relationship Type="http://schemas.openxmlformats.org/officeDocument/2006/relationships/hyperlink" Target="https://meteor.aihw.gov.au/content/567756" TargetMode="External" Id="Rfcc8c2b0f8d34e64" /><Relationship Type="http://schemas.openxmlformats.org/officeDocument/2006/relationships/hyperlink" Target="https://meteor.aihw.gov.au/content/532873" TargetMode="External" Id="Rb6c0c76f5e354379" /><Relationship Type="http://schemas.openxmlformats.org/officeDocument/2006/relationships/hyperlink" Target="https://meteor.aihw.gov.au/content/567756" TargetMode="External" Id="Re6b96b46625d4154" /><Relationship Type="http://schemas.openxmlformats.org/officeDocument/2006/relationships/hyperlink" Target="https://meteor.aihw.gov.au/content/394071" TargetMode="External" Id="Rd58af23d73ec440f" /></Relationships>
</file>

<file path=word/_rels/header1.xml.rels>&#65279;<?xml version="1.0" encoding="utf-8"?><Relationships xmlns="http://schemas.openxmlformats.org/package/2006/relationships"><Relationship Type="http://schemas.openxmlformats.org/officeDocument/2006/relationships/image" Target="/media/image.png" Id="R9431006282594ba6" /></Relationships>
</file>