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799b749c14a9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0d22ab3d84455">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three major problems with data quality: divergence of data among two or more questions, missing data, and inappropriate data provided for the question.</w:t>
            </w:r>
            <w:r>
              <w:br/>
            </w:r>
            <w:r>
              <w:rPr>
                <w:rStyle w:val="row-content-rich-text"/>
              </w:rPr>
              <w:t xml:space="preserve">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2037b85269a74a97">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six months beginning in July 2012. </w:t>
            </w:r>
            <w:r>
              <w:br/>
            </w:r>
            <w:r>
              <w:rPr>
                <w:rStyle w:val="row-content-rich-text"/>
              </w:rPr>
              <w:t xml:space="preserve">The AIHW provides individualised reports and PowerPoint presentations to health organisations which submit data, generally within one month of data finalisation.</w:t>
            </w:r>
            <w:r>
              <w:br/>
            </w:r>
            <w:r>
              <w:rPr>
                <w:rStyle w:val="row-content-rich-text"/>
              </w:rPr>
              <w:t xml:space="preserve">National reports are expected to be published every six months from mid-2014. Due to the extent of data quality improvement processes involved, there is a time lag between the date when the organisations submit their data and the biannual release of national data reports.</w:t>
            </w:r>
            <w:r>
              <w:br/>
            </w:r>
            <w:r>
              <w:rPr>
                <w:rStyle w:val="row-content-rich-text"/>
              </w:rPr>
              <w:t xml:space="preserve">Although the organisations are required to submit the initial data no later than one month after the census date (of either 30 June or 31 December), finalisation of data in consultation with some organisations can take another 4-5 months. Stakeholder consultation over aggregated data further delays publication. The release of national reports is expected to take approximately 9 months from the reference period.</w:t>
            </w:r>
            <w:r>
              <w:br/>
            </w:r>
            <w:r>
              <w:rPr>
                <w:rStyle w:val="row-content-rich-text"/>
              </w:rPr>
              <w:t xml:space="preserve">For example, data for the reporting period ending 30 June 2013 were due to the AIHW by 31 July 2013. However, 57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82 organisations in the reporting period ending June 2013.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5 times in June 2013. There were sometimes substantial delays between when the AIHW issued an exception report and when the organisation resubmitted data. As a result, data were not finalised until 27 November 2013.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anticipated to be published every six months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three reporting periods ending June 2012, December 2012 and June 2013,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three major problems with the data quality: data that were contradictory with other data in the same submission, missing data, and inappropriate data provided for the question. The first of these issues is the one most commonly encountered.</w:t>
            </w:r>
            <w:r>
              <w:br/>
            </w:r>
            <w:r>
              <w:rPr>
                <w:rStyle w:val="row-content-rich-text"/>
              </w:rPr>
              <w:t xml:space="preserve">The three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So far, these nKPIs have been collected only once.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approximately 200 organisations contributing data in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d901e372ad54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563434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eb7e7faf4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1e372ad544410" /><Relationship Type="http://schemas.openxmlformats.org/officeDocument/2006/relationships/header" Target="/word/header1.xml" Id="R961694d796b1410d" /><Relationship Type="http://schemas.openxmlformats.org/officeDocument/2006/relationships/settings" Target="/word/settings.xml" Id="R4e5e2f9f415f44a0" /><Relationship Type="http://schemas.openxmlformats.org/officeDocument/2006/relationships/styles" Target="/word/styles.xml" Id="Rbb16efed90704e54" /><Relationship Type="http://schemas.openxmlformats.org/officeDocument/2006/relationships/hyperlink" Target="https://meteor.aihw.gov.au/RegistrationAuthority/5" TargetMode="External" Id="R9350d22ab3d84455" /><Relationship Type="http://schemas.openxmlformats.org/officeDocument/2006/relationships/hyperlink" Target="http://www.aihw.gov.au" TargetMode="External" Id="R2037b85269a74a97" /></Relationships>
</file>

<file path=word/_rels/header1.xml.rels>&#65279;<?xml version="1.0" encoding="utf-8"?><Relationships xmlns="http://schemas.openxmlformats.org/package/2006/relationships"><Relationship Type="http://schemas.openxmlformats.org/officeDocument/2006/relationships/image" Target="/media/image.png" Id="R921eb7e7faf440b7" /></Relationships>
</file>