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05e749ca744aad"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Department of Veterans' Affairs card colour, code 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Department of Veterans' Affairs card colour,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DVA card colour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PER_DVA_CARD_COLOUR_CODE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ab7685b8b4bb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colour of the card issued to a veteran by the Department of Veterans' Affairs, as represented by a code. The card colour determines the level of health services the person is eligible for at the DVA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47a6d3ddf44404">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1db9dd62c549dc">
              <w:r>
                <w:rPr>
                  <w:rStyle w:val="Hyperlink"/>
                </w:rPr>
                <w:t xml:space="preserve">Department of Veterans' Affairs card colour,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GOL</w:t>
            </w:r>
          </w:p>
        </w:tc>
        <w:tc>
          <w:tcPr>
            <w:tcBorders>
              <w:top w:val="none" w:color="000000" w:sz="0"/>
              <w:left w:val="none" w:color="000000" w:sz="0"/>
              <w:bottom w:val="none" w:color="000000" w:sz="0"/>
              <w:right w:val="none" w:color="000000" w:sz="0"/>
            </w:tcBorders>
            <w:vAlign w:val="top"/>
          </w:tcPr>
          <w:p>
            <w:r>
              <w:t xml:space="preserve">Gold (entitled to treatment for all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WHT</w:t>
            </w:r>
          </w:p>
        </w:tc>
        <w:tc>
          <w:tcPr>
            <w:tcBorders>
              <w:top w:val="none" w:color="000000" w:sz="0"/>
              <w:left w:val="none" w:color="000000" w:sz="0"/>
              <w:bottom w:val="none" w:color="000000" w:sz="0"/>
              <w:right w:val="none" w:color="000000" w:sz="0"/>
            </w:tcBorders>
            <w:vAlign w:val="top"/>
          </w:tcPr>
          <w:p>
            <w:r>
              <w:t xml:space="preserve">White (entitled to treatment for specific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ORN</w:t>
            </w:r>
          </w:p>
        </w:tc>
        <w:tc>
          <w:tcPr>
            <w:tcBorders>
              <w:top w:val="none" w:color="000000" w:sz="0"/>
              <w:left w:val="none" w:color="000000" w:sz="0"/>
              <w:bottom w:val="none" w:color="000000" w:sz="0"/>
              <w:right w:val="none" w:color="000000" w:sz="0"/>
            </w:tcBorders>
            <w:vAlign w:val="top"/>
          </w:tcPr>
          <w:p>
            <w:r>
              <w:t xml:space="preserve">Orange (entitled to items under the Repatriation Pharmaceutical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DVA has three (3) types of health cards:</w:t>
            </w:r>
          </w:p>
          <w:p>
            <w:pPr>
              <w:spacing w:after="160"/>
            </w:pPr>
            <w:r>
              <w:rPr>
                <w:rStyle w:val="row-content-rich-text"/>
              </w:rPr>
              <w:t xml:space="preserve">Gold Card White Card Repatriation Pharmaceutical Benefits Card.</w:t>
            </w:r>
          </w:p>
          <w:p>
            <w:pPr>
              <w:spacing w:after="160"/>
            </w:pPr>
            <w:r>
              <w:rPr>
                <w:rStyle w:val="row-content-rich-text"/>
              </w:rPr>
              <w:t xml:space="preserve">Each card indicates, to the health provider, the level of health services the holder is eligible for, at the DVA expense.</w:t>
            </w:r>
          </w:p>
          <w:p>
            <w:pPr>
              <w:spacing w:after="160"/>
            </w:pPr>
            <w:r>
              <w:rPr>
                <w:rStyle w:val="row-content-rich-text"/>
              </w:rPr>
              <w:t xml:space="preserve">The Gold card enables the holder to access a comprehensive range of health care and related services, for all conditions, whether they are related to war service or not.</w:t>
            </w:r>
          </w:p>
          <w:p>
            <w:pPr>
              <w:spacing w:after="160"/>
            </w:pPr>
            <w:r>
              <w:rPr>
                <w:rStyle w:val="row-content-rich-text"/>
              </w:rPr>
              <w:t xml:space="preserve">The White card enables the holder to access health care and associated services for war or service-related conditions. Veterans of Australian forces may also be issued this card to receive treatment for malignant cancer, pulmonary tuberculosis and post traumatic stress disorder and, for Vietnam veterans only, anxiety or depression, irrespective of whether these conditions are related to war service or not.</w:t>
            </w:r>
          </w:p>
          <w:p>
            <w:pPr>
              <w:spacing w:after="160"/>
            </w:pPr>
            <w:r>
              <w:rPr>
                <w:rStyle w:val="row-content-rich-text"/>
              </w:rPr>
              <w:t xml:space="preserve">The white card holders are eligible to receive, for specific conditions, treatment from registered medical, hospital, pharmaceutical, dental and allied health care providers with whom DVA has arrangements.</w:t>
            </w:r>
          </w:p>
          <w:p>
            <w:pPr>
              <w:spacing w:after="160"/>
            </w:pPr>
            <w:r>
              <w:rPr>
                <w:rStyle w:val="row-content-rich-text"/>
              </w:rPr>
              <w:t xml:space="preserve">A white card is also issued to eligible ex-service personnel who are from other countries, which enter into arrangements with the Australian government for the treatment of the conditions that these countries accept as war related.</w:t>
            </w:r>
          </w:p>
          <w:p>
            <w:pPr>
              <w:spacing w:after="160"/>
            </w:pPr>
            <w:r>
              <w:rPr>
                <w:rStyle w:val="row-content-rich-text"/>
              </w:rPr>
              <w:t xml:space="preserve">When a gold/white card holder accesses health services at DVA expense, the DVA File Number is critical and should be used. The person's Medicare card number is not required or relevant.</w:t>
            </w:r>
          </w:p>
          <w:p>
            <w:pPr>
              <w:spacing w:after="160"/>
            </w:pPr>
            <w:r>
              <w:rPr>
                <w:rStyle w:val="row-content-rich-text"/>
              </w:rPr>
              <w:t xml:space="preserve">It should be noted that there are a number of gold card holders who do not have a Medicare card.</w:t>
            </w:r>
          </w:p>
          <w:p>
            <w:pPr/>
            <w:r>
              <w:rPr>
                <w:rStyle w:val="row-content-rich-text"/>
              </w:rPr>
              <w:t xml:space="preserve">The Repatriation Pharmaceutical Benefits card is an orange coloured card issued to eligible veterans and merchant mariners from Britain and the Commonwealth and other allied countries. This card enables the holder to access the range of pharmaceutical items available under the Repatriation Pharmaceutical Benefits Scheme. It does not provide access to other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fca6ea324394ada">
              <w:r>
                <w:rPr>
                  <w:rStyle w:val="Hyperlink"/>
                </w:rPr>
                <w:t xml:space="preserve">Person—government funding identifier, Department of Veterans' Affairs file number AAXXNNNNA</w:t>
              </w:r>
            </w:hyperlink>
          </w:p>
          <w:p>
            <w:pPr>
              <w:pStyle w:val="registration-status"/>
              <w:spacing w:before="0" w:after="0"/>
            </w:pPr>
            <w:hyperlink w:history="true" r:id="R0725d310cf3748ee">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484081707f0b40f9">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f8894420f37d4d84">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92be9bffda5d4a8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be6599b9af4bf1">
              <w:r>
                <w:rPr>
                  <w:rStyle w:val="Hyperlink"/>
                </w:rPr>
                <w:t xml:space="preserve">WA Health Non-Admitted Patient Activity and Wait List Data Collection (NAPAAWL DC) 2013-14</w:t>
              </w:r>
            </w:hyperlink>
          </w:p>
          <w:p>
            <w:pPr>
              <w:pStyle w:val="registration-status"/>
              <w:spacing w:before="0" w:after="0"/>
            </w:pPr>
            <w:hyperlink w:history="true" r:id="R7ead9cff2b1840a6">
              <w:r>
                <w:rPr>
                  <w:rStyle w:val="Hyperlink"/>
                  <w:color w:val="244061"/>
                </w:rPr>
                <w:t xml:space="preserve">WA Health</w:t>
              </w:r>
            </w:hyperlink>
            <w:r>
              <w:rPr>
                <w:rStyle w:val="row-content"/>
                <w:color w:val="244061"/>
              </w:rPr>
              <w:t xml:space="preserve">, Standard 19/03/2015</w:t>
            </w:r>
          </w:p>
          <w:p>
            <w:r>
              <w:br/>
            </w:r>
            <w:hyperlink w:history="true" r:id="Rd16841b9c19f4ba1">
              <w:r>
                <w:rPr>
                  <w:rStyle w:val="Hyperlink"/>
                </w:rPr>
                <w:t xml:space="preserve">WA Health Non-Admitted Patient Activity and Wait List Data Collection (NAPAAWL DC) 2014-15</w:t>
              </w:r>
            </w:hyperlink>
          </w:p>
          <w:p>
            <w:pPr>
              <w:pStyle w:val="registration-status"/>
              <w:spacing w:before="0" w:after="0"/>
            </w:pPr>
            <w:hyperlink w:history="true" r:id="Rde70ef5ab25c4564">
              <w:r>
                <w:rPr>
                  <w:rStyle w:val="Hyperlink"/>
                  <w:color w:val="244061"/>
                </w:rPr>
                <w:t xml:space="preserve">WA Health</w:t>
              </w:r>
            </w:hyperlink>
            <w:r>
              <w:rPr>
                <w:rStyle w:val="row-content"/>
                <w:color w:val="244061"/>
              </w:rPr>
              <w:t xml:space="preserve">, Standard 24/04/2015</w:t>
            </w:r>
          </w:p>
          <w:p>
            <w:r>
              <w:br/>
            </w:r>
            <w:hyperlink w:history="true" r:id="Re34734e8aacb4c18">
              <w:r>
                <w:rPr>
                  <w:rStyle w:val="Hyperlink"/>
                </w:rPr>
                <w:t xml:space="preserve">WA Health Non-Admitted Patient Activity and Wait List Data Collection (NAPAAWL DC) 2016-17</w:t>
              </w:r>
            </w:hyperlink>
          </w:p>
          <w:p>
            <w:pPr>
              <w:pStyle w:val="registration-status"/>
              <w:spacing w:before="0" w:after="0"/>
            </w:pPr>
            <w:hyperlink w:history="true" r:id="R1a4be701a5c144c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3ec26e14553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563420</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17792837c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c26e1455348b4" /><Relationship Type="http://schemas.openxmlformats.org/officeDocument/2006/relationships/header" Target="/word/header1.xml" Id="Rc26e66f3dee04bad" /><Relationship Type="http://schemas.openxmlformats.org/officeDocument/2006/relationships/settings" Target="/word/settings.xml" Id="Re64eef91afb34e7d" /><Relationship Type="http://schemas.openxmlformats.org/officeDocument/2006/relationships/styles" Target="/word/styles.xml" Id="R69ed220ba91d44c8" /><Relationship Type="http://schemas.openxmlformats.org/officeDocument/2006/relationships/hyperlink" Target="https://meteor.aihw.gov.au/RegistrationAuthority/2" TargetMode="External" Id="Re2eab7685b8b4bb8" /><Relationship Type="http://schemas.openxmlformats.org/officeDocument/2006/relationships/hyperlink" Target="https://meteor.aihw.gov.au/content/269395" TargetMode="External" Id="R6947a6d3ddf44404" /><Relationship Type="http://schemas.openxmlformats.org/officeDocument/2006/relationships/hyperlink" Target="https://meteor.aihw.gov.au/content/563414" TargetMode="External" Id="Ra31db9dd62c549dc" /><Relationship Type="http://schemas.openxmlformats.org/officeDocument/2006/relationships/hyperlink" Target="https://meteor.aihw.gov.au/content/339127" TargetMode="External" Id="Refca6ea324394ada" /><Relationship Type="http://schemas.openxmlformats.org/officeDocument/2006/relationships/hyperlink" Target="https://meteor.aihw.gov.au/RegistrationAuthority/1" TargetMode="External" Id="R0725d310cf3748ee" /><Relationship Type="http://schemas.openxmlformats.org/officeDocument/2006/relationships/hyperlink" Target="https://meteor.aihw.gov.au/RegistrationAuthority/12" TargetMode="External" Id="R484081707f0b40f9" /><Relationship Type="http://schemas.openxmlformats.org/officeDocument/2006/relationships/hyperlink" Target="https://meteor.aihw.gov.au/RegistrationAuthority/15" TargetMode="External" Id="Rf8894420f37d4d84" /><Relationship Type="http://schemas.openxmlformats.org/officeDocument/2006/relationships/hyperlink" Target="https://meteor.aihw.gov.au/RegistrationAuthority/2" TargetMode="External" Id="R92be9bffda5d4a80" /><Relationship Type="http://schemas.openxmlformats.org/officeDocument/2006/relationships/hyperlink" Target="https://meteor.aihw.gov.au/content/490816" TargetMode="External" Id="Rb3be6599b9af4bf1" /><Relationship Type="http://schemas.openxmlformats.org/officeDocument/2006/relationships/hyperlink" Target="https://meteor.aihw.gov.au/RegistrationAuthority/2" TargetMode="External" Id="R7ead9cff2b1840a6" /><Relationship Type="http://schemas.openxmlformats.org/officeDocument/2006/relationships/hyperlink" Target="https://meteor.aihw.gov.au/content/605977" TargetMode="External" Id="Rd16841b9c19f4ba1" /><Relationship Type="http://schemas.openxmlformats.org/officeDocument/2006/relationships/hyperlink" Target="https://meteor.aihw.gov.au/RegistrationAuthority/2" TargetMode="External" Id="Rde70ef5ab25c4564" /><Relationship Type="http://schemas.openxmlformats.org/officeDocument/2006/relationships/hyperlink" Target="https://meteor.aihw.gov.au/content/648949" TargetMode="External" Id="Re34734e8aacb4c18" /><Relationship Type="http://schemas.openxmlformats.org/officeDocument/2006/relationships/hyperlink" Target="https://meteor.aihw.gov.au/RegistrationAuthority/2" TargetMode="External" Id="R1a4be701a5c144cb" /></Relationships>
</file>

<file path=word/_rels/header1.xml.rels>&#65279;<?xml version="1.0" encoding="utf-8"?><Relationships xmlns="http://schemas.openxmlformats.org/package/2006/relationships"><Relationship Type="http://schemas.openxmlformats.org/officeDocument/2006/relationships/image" Target="/media/image.png" Id="Rd3617792837c4a99" /></Relationships>
</file>