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d9d0547b44e9d"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e-Proportion of people with disability who are satisfied with the range of services available, and with the adequacy and quality of services provided,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e-Proportion of people with disability who are satisfied with the range of services available, and with the adequacy and quality of services provided,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e3e562c554fb9">
              <w:r>
                <w:rPr>
                  <w:rStyle w:val="Hyperlink"/>
                  <w:color w:val="244061"/>
                </w:rPr>
                <w:t xml:space="preserve">Community Services (retired)</w:t>
              </w:r>
            </w:hyperlink>
            <w:r>
              <w:rPr>
                <w:rStyle w:val="row-content"/>
                <w:color w:val="244061"/>
              </w:rPr>
              <w:t xml:space="preserve">, Standard 23/05/2013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f12683426cd84b09">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3c51883ad10e48c8">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ccc34282462448dc">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w:t>
            </w:r>
          </w:p>
          <w:p>
            <w:pPr/>
            <w:r>
              <w:rPr>
                <w:rStyle w:val="row-content-rich-text"/>
              </w:rPr>
              <w:t xml:space="preserve">A range of need and receipt of assistance data are collected in the SDAC from persons with a disability. These include asking about whether people need assistance and receive assistance with activities of daily living (self-care, mobility, communication, property maintenance, meal preparation, household chores, reading and writing, cognitive and emotional tasks and transport). Persons who reported needing more formal assistance with at least one of the nine considered daily activities are included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the larger states for most tables, however data for some smaller jurisdictions have some RSEs between 25 per cent and 50 per cent, and should be used with caution. Estimates with RSEs greater than 50 per cent are not considered reliable enough for general use.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and NATSISS collect a range of demographic, financial and other information that can be analysed in conjunction with the disability status and labour force participation rate of respondents.</w:t>
            </w:r>
          </w:p>
          <w:p>
            <w:pPr>
              <w:spacing w:after="160"/>
            </w:pPr>
            <w:r>
              <w:rPr>
                <w:rStyle w:val="row-content-rich-text"/>
              </w:rPr>
              <w:t xml:space="preserve">The SDAC and NATSISS can be used to assess changes in disability status over time for the total and Indigenous populations, respectively. Due to the different modules used to collect disability status, however, these surveys cannot be used to compare disability rates in the total population with those in the Indigenous population.</w:t>
            </w:r>
          </w:p>
          <w:p>
            <w:pPr/>
            <w:r>
              <w:rPr>
                <w:rStyle w:val="row-content-rich-text"/>
              </w:rPr>
              <w:t xml:space="preserve">The labour force information collected in SDAC is designed to be comparable with data collected in the monthly Labour Force Survey and other surveys.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8d84c4dcfe48c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bl>
    <w:p>
      <w:r>
        <w:br/>
      </w:r>
    </w:p>
    <w:sectPr>
      <w:footerReference xmlns:r="http://schemas.openxmlformats.org/officeDocument/2006/relationships" w:type="default" r:id="R2c10222bdc9f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c109eba53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0222bdc9f46b9" /><Relationship Type="http://schemas.openxmlformats.org/officeDocument/2006/relationships/header" Target="/word/header1.xml" Id="R1cc3e9f9eea443db" /><Relationship Type="http://schemas.openxmlformats.org/officeDocument/2006/relationships/settings" Target="/word/settings.xml" Id="R54abc1c7400e49df" /><Relationship Type="http://schemas.openxmlformats.org/officeDocument/2006/relationships/styles" Target="/word/styles.xml" Id="R74023aa88a8a4d5e" /><Relationship Type="http://schemas.openxmlformats.org/officeDocument/2006/relationships/hyperlink" Target="https://meteor.aihw.gov.au/RegistrationAuthority/1" TargetMode="External" Id="R592e3e562c554fb9" /><Relationship Type="http://schemas.openxmlformats.org/officeDocument/2006/relationships/hyperlink" Target="http://www.abs.gov.au/websitedbs/d3310114.nsf/4a256353001af3ed4b2562bb00121564/10ca14cb967e5b83ca2573ae00197b65!OpenDocument" TargetMode="External" Id="Rf12683426cd84b09" /><Relationship Type="http://schemas.openxmlformats.org/officeDocument/2006/relationships/hyperlink" Target="http://www.abs.gov.au/ausstats/abs@.nsf/mf/4430.0" TargetMode="External" Id="R3c51883ad10e48c8" /><Relationship Type="http://schemas.openxmlformats.org/officeDocument/2006/relationships/hyperlink" Target="http://www.abs.gov.au/AUSSTATS/abs@.nsf/productsbyCatalogue/AD3B3FB7F90EB3D4CA2570B500830B64?OpenDocument" TargetMode="External" Id="Rccc34282462448dc" /><Relationship Type="http://schemas.openxmlformats.org/officeDocument/2006/relationships/hyperlink" Target="https://meteor.aihw.gov.au/content/367581" TargetMode="External" Id="R708d84c4dcfe48c1" /></Relationships>
</file>

<file path=word/_rels/header1.xml.rels>&#65279;<?xml version="1.0" encoding="utf-8"?><Relationships xmlns="http://schemas.openxmlformats.org/package/2006/relationships"><Relationship Type="http://schemas.openxmlformats.org/officeDocument/2006/relationships/image" Target="/media/image.png" Id="Rd30c109eba534c32" /></Relationships>
</file>