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b974011a9475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(SHS)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(SHS)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spacing w:after="160"/>
            </w:pPr>
            <w:r>
              <w:rPr>
                <w:rStyle w:val="row-content-rich-text"/>
              </w:rPr>
              <w:t xml:space="preserve">the development of an implementation plan to establish client-based collection (includes specification of client-centred data collection; specification of collection system to meet COAG timelines; specification of administrative data collection from jurisdictions.</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r>
              <w:rPr>
                <w:rStyle w:val="row-content-rich-text"/>
              </w:rPr>
              <w:t xml:space="preserve">The SHS NMDS data collection will be vital for reporting, policy design and evaluation, as well as service improvement and monitoring of specialist homelessness services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28/06/2012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2012. Specialist Homelessness Services 2011-12. Cat. no. HOU 267. Canberra: AIHW. </w:t>
            </w:r>
          </w:p>
          <w:p>
            <w:hyperlink w:history="true" r:id="R4557321e762b42df">
              <w:r>
                <w:rPr>
                  <w:rStyle w:val="Hyperlink"/>
                </w:rPr>
                <w:t xml:space="preserve">http://www.aihw.gov.au/publication-detail/?id=60129542549</w:t>
              </w:r>
            </w:hyperlink>
          </w:p>
        </w:tc>
      </w:tr>
    </w:tbl>
    <w:p>
      <w:r>
        <w:br/>
      </w:r>
    </w:p>
    <w:sectPr>
      <w:footerReference xmlns:r="http://schemas.openxmlformats.org/officeDocument/2006/relationships" w:type="default" r:id="R4e9e4ce59f2a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560303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295a520d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e4ce59f2a474c" /><Relationship Type="http://schemas.openxmlformats.org/officeDocument/2006/relationships/header" Target="/word/header1.xml" Id="R6f90d3ed014b41cc" /><Relationship Type="http://schemas.openxmlformats.org/officeDocument/2006/relationships/settings" Target="/word/settings.xml" Id="R867b1b4e8a294e87" /><Relationship Type="http://schemas.openxmlformats.org/officeDocument/2006/relationships/styles" Target="/word/styles.xml" Id="R530da43b18304139" /><Relationship Type="http://schemas.openxmlformats.org/officeDocument/2006/relationships/hyperlink" Target="http://www.aihw.gov.au/publication-detail/?id=60129542549" TargetMode="External" Id="R4557321e762b42df" /></Relationships>
</file>

<file path=word/_rels/header1.xml.rels>&#65279;<?xml version="1.0" encoding="utf-8"?><Relationships xmlns="http://schemas.openxmlformats.org/package/2006/relationships"><Relationship Type="http://schemas.openxmlformats.org/officeDocument/2006/relationships/image" Target="/media/image.png" Id="R971295a520d345cb" /></Relationships>
</file>