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e1aec0b7304292" /></Relationships>
</file>

<file path=word/document.xml><?xml version="1.0" encoding="utf-8"?>
<w:document xmlns:r="http://schemas.openxmlformats.org/officeDocument/2006/relationships" xmlns:w="http://schemas.openxmlformats.org/wordprocessingml/2006/main">
  <w:body>
    <w:p>
      <w:pPr>
        <w:pStyle w:val="Title"/>
      </w:pPr>
      <w:r>
        <w:t>Establishment—number of patient days under infection surveillance monitoring, total days N[N(7)]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patient days under infection surveillance monitoring, total days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days under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9371de957743d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patient bed days covered by the hospital's infection surveillance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2c3043e40d4dd4">
              <w:r>
                <w:rPr>
                  <w:rStyle w:val="Hyperlink"/>
                </w:rPr>
                <w:t xml:space="preserve">Establishment—number of patient days under infection surveillance monitoring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0a491d374d45c1">
              <w:r>
                <w:rPr>
                  <w:rStyle w:val="Hyperlink"/>
                </w:rPr>
                <w:t xml:space="preserve">Total days N[N(7)]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bed days under surveillance is supplied for each reported hospital by the relevant state or territory. This value should only reflect those beds covered by the hospital's infection surveillance program.</w:t>
            </w:r>
          </w:p>
          <w:p>
            <w:pPr>
              <w:spacing w:after="160"/>
            </w:pPr>
            <w:r>
              <w:rPr>
                <w:rStyle w:val="row-content-rich-text"/>
              </w:rPr>
              <w:t xml:space="preserve">A day is measured from midnight to 23:59 hours.</w:t>
            </w:r>
          </w:p>
          <w:p>
            <w:pPr>
              <w:spacing w:after="160"/>
            </w:pPr>
            <w:r>
              <w:rPr>
                <w:rStyle w:val="row-content-rich-text"/>
              </w:rPr>
              <w:t xml:space="preserve">The following basic rules are used to calculate the number of patient days for </w:t>
            </w:r>
            <w:hyperlink w:tooltip="A patient who, following a clinical decision, receives hospital treatment for a minimum of one night, i.e. who is admitted to and separated from the hospital on different dates." w:history="true" r:id="Rb10e42c9599a4486">
              <w:r>
                <w:rPr>
                  <w:rStyle w:val="Hyperlink"/>
                  <w:b/>
                </w:rPr>
                <w:t xml:space="preserve">overnight stay patients</w:t>
              </w:r>
            </w:hyperlink>
            <w:r>
              <w:rPr>
                <w:rStyle w:val="row-content-rich-text"/>
              </w:rPr>
              <w:t xml:space="preserve">:</w:t>
            </w:r>
          </w:p>
          <w:p>
            <w:pPr>
              <w:pStyle w:val="ListParagraph"/>
              <w:numPr>
                <w:ilvl w:val="0"/>
                <w:numId w:val="2"/>
              </w:numPr>
            </w:pPr>
            <w:r>
              <w:rPr>
                <w:rStyle w:val="row-content-rich-text"/>
              </w:rPr>
              <w:t xml:space="preserve">The day the patient is admitted is a patient day</w:t>
            </w:r>
          </w:p>
          <w:p>
            <w:pPr>
              <w:pStyle w:val="ListParagraph"/>
              <w:numPr>
                <w:ilvl w:val="0"/>
                <w:numId w:val="2"/>
              </w:numPr>
            </w:pPr>
            <w:r>
              <w:rPr>
                <w:rStyle w:val="row-content-rich-text"/>
              </w:rPr>
              <w:t xml:space="preserve">If the patient remains in hospital from midnight to 23:59 hours count as a patient day</w:t>
            </w:r>
          </w:p>
          <w:p>
            <w:pPr>
              <w:pStyle w:val="ListParagraph"/>
              <w:numPr>
                <w:ilvl w:val="0"/>
                <w:numId w:val="2"/>
              </w:numPr>
            </w:pPr>
            <w:r>
              <w:rPr>
                <w:rStyle w:val="row-content-rich-text"/>
              </w:rPr>
              <w:t xml:space="preserve">The day a patient goes on leave is counted as a leave day</w:t>
            </w:r>
          </w:p>
          <w:p>
            <w:pPr>
              <w:pStyle w:val="ListParagraph"/>
              <w:numPr>
                <w:ilvl w:val="0"/>
                <w:numId w:val="2"/>
              </w:numPr>
            </w:pPr>
            <w:r>
              <w:rPr>
                <w:rStyle w:val="row-content-rich-text"/>
              </w:rPr>
              <w:t xml:space="preserve">If the patient is on leave from midnight to 23:59 hours count as a leave day</w:t>
            </w:r>
          </w:p>
          <w:p>
            <w:pPr>
              <w:pStyle w:val="ListParagraph"/>
              <w:numPr>
                <w:ilvl w:val="0"/>
                <w:numId w:val="2"/>
              </w:numPr>
            </w:pPr>
            <w:r>
              <w:rPr>
                <w:rStyle w:val="row-content-rich-text"/>
              </w:rPr>
              <w:t xml:space="preserve">The day the patient returns from leave is counted as a patient day</w:t>
            </w:r>
          </w:p>
          <w:p>
            <w:pPr>
              <w:pStyle w:val="ListParagraph"/>
              <w:numPr>
                <w:ilvl w:val="0"/>
                <w:numId w:val="2"/>
              </w:numPr>
            </w:pPr>
            <w:r>
              <w:rPr>
                <w:rStyle w:val="row-content-rich-text"/>
              </w:rPr>
              <w:t xml:space="preserve">The day the patient is separated is not counted as a patient day.</w:t>
            </w:r>
          </w:p>
          <w:p>
            <w:pPr>
              <w:spacing w:after="160"/>
            </w:pPr>
            <w:r>
              <w:rPr>
                <w:rStyle w:val="row-content-rich-text"/>
              </w:rPr>
              <w:t xml:space="preserve">The following additional rules cover special circumstances and in such cases, override the basic rules:</w:t>
            </w:r>
          </w:p>
          <w:p>
            <w:pPr>
              <w:pStyle w:val="ListParagraph"/>
              <w:numPr>
                <w:ilvl w:val="0"/>
                <w:numId w:val="3"/>
              </w:numPr>
            </w:pPr>
            <w:r>
              <w:rPr>
                <w:rStyle w:val="row-content-rich-text"/>
              </w:rPr>
              <w:t xml:space="preserve">Patients admitted and separated on the same date (</w:t>
            </w:r>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011be24652fe4540">
              <w:r>
                <w:rPr>
                  <w:rStyle w:val="Hyperlink"/>
                  <w:b/>
                </w:rPr>
                <w:t xml:space="preserve">same-day patients</w:t>
              </w:r>
            </w:hyperlink>
            <w:r>
              <w:rPr>
                <w:rStyle w:val="row-content-rich-text"/>
              </w:rPr>
              <w:t xml:space="preserve">) are to be given a count of one patient day</w:t>
            </w:r>
          </w:p>
          <w:p>
            <w:pPr>
              <w:pStyle w:val="ListParagraph"/>
              <w:numPr>
                <w:ilvl w:val="0"/>
                <w:numId w:val="3"/>
              </w:numPr>
            </w:pPr>
            <w:r>
              <w:rPr>
                <w:rStyle w:val="row-content-rich-text"/>
              </w:rPr>
              <w:t xml:space="preserve">If the patient is admitted and goes on leave on the same day, count as a patient day</w:t>
            </w:r>
          </w:p>
          <w:p>
            <w:pPr>
              <w:pStyle w:val="ListParagraph"/>
              <w:numPr>
                <w:ilvl w:val="0"/>
                <w:numId w:val="3"/>
              </w:numPr>
            </w:pPr>
            <w:r>
              <w:rPr>
                <w:rStyle w:val="row-content-rich-text"/>
              </w:rPr>
              <w:t xml:space="preserve">If the patient returns from leave and goes on leave on the same date, count as a leave day.</w:t>
            </w:r>
          </w:p>
          <w:p>
            <w:pPr>
              <w:pStyle w:val="ListParagraph"/>
              <w:numPr>
                <w:ilvl w:val="0"/>
                <w:numId w:val="3"/>
              </w:numPr>
            </w:pPr>
            <w:r>
              <w:rPr>
                <w:rStyle w:val="row-content-rich-text"/>
              </w:rPr>
              <w:t xml:space="preserve">If the patient returns from leave and is separated, it is not counted as either a patient day or a leave day.</w:t>
            </w:r>
          </w:p>
          <w:p>
            <w:pPr>
              <w:pStyle w:val="ListParagraph"/>
              <w:numPr>
                <w:ilvl w:val="0"/>
                <w:numId w:val="3"/>
              </w:numPr>
            </w:pPr>
            <w:r>
              <w:rPr>
                <w:rStyle w:val="row-content-rich-text"/>
              </w:rPr>
              <w:t xml:space="preserve">If a patient goes on leave the day they are admitted and does not return from leave until the day they are discharged, count as one patient day (the day of admission is counted as a patient day, the day of separation is not counted as a patient day).</w:t>
            </w:r>
          </w:p>
          <w:p>
            <w:pPr>
              <w:spacing w:after="160"/>
            </w:pPr>
            <w:r>
              <w:rPr>
                <w:rStyle w:val="row-content-rich-text"/>
              </w:rPr>
              <w:t xml:space="preserve">When calculating total patient days for a specified period:</w:t>
            </w:r>
          </w:p>
          <w:p>
            <w:pPr>
              <w:pStyle w:val="ListParagraph"/>
              <w:numPr>
                <w:ilvl w:val="0"/>
                <w:numId w:val="4"/>
              </w:numPr>
            </w:pPr>
            <w:r>
              <w:rPr>
                <w:rStyle w:val="row-content-rich-text"/>
              </w:rPr>
              <w:t xml:space="preserve">Count the total patient days of those patients separated during the specified period including those admitted before the specified period</w:t>
            </w:r>
          </w:p>
          <w:p>
            <w:pPr>
              <w:pStyle w:val="ListParagraph"/>
              <w:numPr>
                <w:ilvl w:val="0"/>
                <w:numId w:val="4"/>
              </w:numPr>
            </w:pPr>
            <w:r>
              <w:rPr>
                <w:rStyle w:val="row-content-rich-text"/>
              </w:rPr>
              <w:t xml:space="preserve">Do not count the patient days of those patients admitted during the specified period who did not separate until the following reference period</w:t>
            </w:r>
          </w:p>
          <w:p>
            <w:pPr>
              <w:pStyle w:val="ListParagraph"/>
              <w:numPr>
                <w:ilvl w:val="0"/>
                <w:numId w:val="4"/>
              </w:numPr>
            </w:pPr>
            <w:r>
              <w:rPr>
                <w:rStyle w:val="row-content-rich-text"/>
              </w:rPr>
              <w:t xml:space="preserve">Contract patient days are included in the count of total patient days. If it is a requirement to distinguish contract patient days from other patient days, they can be calculated by using the rules contained in the data element: total contract patient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16153ad72254975">
              <w:r>
                <w:rPr>
                  <w:rStyle w:val="Hyperlink"/>
                </w:rPr>
                <w:t xml:space="preserve">Establishment—number of patient episodes of healthcare associated Staphylococcus aureus bacteraemia, total episodes N[NNNN]</w:t>
              </w:r>
            </w:hyperlink>
          </w:p>
          <w:p>
            <w:pPr>
              <w:pStyle w:val="registration-status"/>
              <w:spacing w:before="0" w:after="0"/>
            </w:pPr>
            <w:hyperlink w:history="true" r:id="Rd09b9a7f4b444c8f">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8c491f700e944696">
              <w:r>
                <w:rPr>
                  <w:rStyle w:val="Hyperlink"/>
                </w:rPr>
                <w:t xml:space="preserve">Establishment—number of patient episodes of healthcare-associated staphylococcus aureus bloodstream infection, total episodes N[NNNN]</w:t>
              </w:r>
            </w:hyperlink>
          </w:p>
          <w:p>
            <w:pPr>
              <w:pStyle w:val="registration-status"/>
              <w:spacing w:before="0" w:after="0"/>
            </w:pPr>
            <w:hyperlink w:history="true" r:id="R5e88f00cf1664558">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301824e2b348a1">
              <w:r>
                <w:rPr>
                  <w:rStyle w:val="Hyperlink"/>
                </w:rPr>
                <w:t xml:space="preserve">National Health Performance Authority, Hospital Performance: National Staphylococcus aureus Bacteraemia Dataset 2012-13</w:t>
              </w:r>
            </w:hyperlink>
          </w:p>
          <w:p>
            <w:pPr>
              <w:pStyle w:val="registration-status"/>
              <w:spacing w:before="0" w:after="0"/>
            </w:pPr>
            <w:hyperlink w:history="true" r:id="R77680b96624045f8">
              <w:r>
                <w:rPr>
                  <w:rStyle w:val="Hyperlink"/>
                  <w:color w:val="244061"/>
                </w:rPr>
                <w:t xml:space="preserve">National Health Performance Authority (retired)</w:t>
              </w:r>
            </w:hyperlink>
            <w:r>
              <w:rPr>
                <w:rStyle w:val="row-content"/>
                <w:color w:val="244061"/>
              </w:rPr>
              <w:t xml:space="preserve">, Superseded 09/04/2015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784fcf2f43f4d62">
              <w:r>
                <w:rPr>
                  <w:rStyle w:val="Hyperlink"/>
                </w:rPr>
                <w:t xml:space="preserve">National Health Performance Authority, Hospital Performance: National Staphylococcus aureus Bacteraemia Dataset 2013-14</w:t>
              </w:r>
            </w:hyperlink>
          </w:p>
          <w:p>
            <w:pPr>
              <w:pStyle w:val="registration-status"/>
              <w:spacing w:before="0" w:after="0"/>
            </w:pPr>
            <w:hyperlink w:history="true" r:id="R30d49207424e4d52">
              <w:r>
                <w:rPr>
                  <w:rStyle w:val="Hyperlink"/>
                  <w:color w:val="244061"/>
                </w:rPr>
                <w:t xml:space="preserve">National Health Performance Authority (retired)</w:t>
              </w:r>
            </w:hyperlink>
            <w:r>
              <w:rPr>
                <w:rStyle w:val="row-content"/>
                <w:color w:val="244061"/>
              </w:rPr>
              <w:t xml:space="preserve">, Retired 01/07/2016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c72df50b68fd4316">
              <w:r>
                <w:rPr>
                  <w:rStyle w:val="Hyperlink"/>
                </w:rPr>
                <w:t xml:space="preserve">National Health Performance Authority, Hospital Performance: Rate of healthcare-associated Staphylococcus aureus bloodstream infection, 2014</w:t>
              </w:r>
            </w:hyperlink>
          </w:p>
          <w:p>
            <w:pPr>
              <w:pStyle w:val="registration-status"/>
              <w:spacing w:before="0" w:after="0"/>
            </w:pPr>
            <w:hyperlink w:history="true" r:id="R97ff31bc309144d3">
              <w:r>
                <w:rPr>
                  <w:rStyle w:val="Hyperlink"/>
                  <w:color w:val="244061"/>
                </w:rPr>
                <w:t xml:space="preserve">National Health Performance Authority (retired)</w:t>
              </w:r>
            </w:hyperlink>
            <w:r>
              <w:rPr>
                <w:rStyle w:val="row-content"/>
                <w:color w:val="244061"/>
              </w:rPr>
              <w:t xml:space="preserve">, Superseded 09/04/2015</w:t>
            </w:r>
          </w:p>
          <w:p>
            <w:r>
              <w:br/>
            </w:r>
            <w:hyperlink w:history="true" r:id="Rce899ed154c1443c">
              <w:r>
                <w:rPr>
                  <w:rStyle w:val="Hyperlink"/>
                </w:rPr>
                <w:t xml:space="preserve">National Health Performance Authority, Hospital Performance: Rate of healthcare-associated Staphylococcus aureus bloodstream infection, 2015</w:t>
              </w:r>
            </w:hyperlink>
          </w:p>
          <w:p>
            <w:pPr>
              <w:pStyle w:val="registration-status"/>
              <w:spacing w:before="0" w:after="0"/>
            </w:pPr>
            <w:hyperlink w:history="true" r:id="R4ffc0521c7a841b7">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0002b9d82dcf42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559230</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180322156540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02b9d82dcf4225" /><Relationship Type="http://schemas.openxmlformats.org/officeDocument/2006/relationships/header" Target="/word/header1.xml" Id="R3d9e7622b9714343" /><Relationship Type="http://schemas.openxmlformats.org/officeDocument/2006/relationships/settings" Target="/word/settings.xml" Id="R5c349bf831f64fad" /><Relationship Type="http://schemas.openxmlformats.org/officeDocument/2006/relationships/styles" Target="/word/styles.xml" Id="Rdde626991b904d76" /><Relationship Type="http://schemas.openxmlformats.org/officeDocument/2006/relationships/numbering" Target="/word/numbering.xml" Id="Rda9453233f0246cf" /><Relationship Type="http://schemas.openxmlformats.org/officeDocument/2006/relationships/hyperlink" Target="https://meteor.aihw.gov.au/RegistrationAuthority/8" TargetMode="External" Id="R679371de957743df" /><Relationship Type="http://schemas.openxmlformats.org/officeDocument/2006/relationships/hyperlink" Target="https://meteor.aihw.gov.au/content/563299" TargetMode="External" Id="R112c3043e40d4dd4" /><Relationship Type="http://schemas.openxmlformats.org/officeDocument/2006/relationships/hyperlink" Target="https://meteor.aihw.gov.au/content/270653" TargetMode="External" Id="Rab0a491d374d45c1" /><Relationship Type="http://schemas.openxmlformats.org/officeDocument/2006/relationships/hyperlink" Target="https://meteor.aihw.gov.au/content/327256" TargetMode="External" Id="Rb10e42c9599a4486" /><Relationship Type="http://schemas.openxmlformats.org/officeDocument/2006/relationships/hyperlink" Target="https://meteor.aihw.gov.au/content/327270" TargetMode="External" Id="R011be24652fe4540" /><Relationship Type="http://schemas.openxmlformats.org/officeDocument/2006/relationships/hyperlink" Target="https://meteor.aihw.gov.au/content/428594" TargetMode="External" Id="R516153ad72254975" /><Relationship Type="http://schemas.openxmlformats.org/officeDocument/2006/relationships/hyperlink" Target="https://meteor.aihw.gov.au/RegistrationAuthority/12" TargetMode="External" Id="Rd09b9a7f4b444c8f" /><Relationship Type="http://schemas.openxmlformats.org/officeDocument/2006/relationships/hyperlink" Target="https://meteor.aihw.gov.au/content/752302" TargetMode="External" Id="R8c491f700e944696" /><Relationship Type="http://schemas.openxmlformats.org/officeDocument/2006/relationships/hyperlink" Target="https://meteor.aihw.gov.au/RegistrationAuthority/12" TargetMode="External" Id="R5e88f00cf1664558" /><Relationship Type="http://schemas.openxmlformats.org/officeDocument/2006/relationships/hyperlink" Target="https://meteor.aihw.gov.au/content/559233" TargetMode="External" Id="R9a301824e2b348a1" /><Relationship Type="http://schemas.openxmlformats.org/officeDocument/2006/relationships/hyperlink" Target="https://meteor.aihw.gov.au/RegistrationAuthority/8" TargetMode="External" Id="R77680b96624045f8" /><Relationship Type="http://schemas.openxmlformats.org/officeDocument/2006/relationships/hyperlink" Target="https://meteor.aihw.gov.au/content/602698" TargetMode="External" Id="R5784fcf2f43f4d62" /><Relationship Type="http://schemas.openxmlformats.org/officeDocument/2006/relationships/hyperlink" Target="https://meteor.aihw.gov.au/RegistrationAuthority/8" TargetMode="External" Id="R30d49207424e4d52" /><Relationship Type="http://schemas.openxmlformats.org/officeDocument/2006/relationships/hyperlink" Target="https://meteor.aihw.gov.au/content/558746" TargetMode="External" Id="Rc72df50b68fd4316" /><Relationship Type="http://schemas.openxmlformats.org/officeDocument/2006/relationships/hyperlink" Target="https://meteor.aihw.gov.au/RegistrationAuthority/8" TargetMode="External" Id="R97ff31bc309144d3" /><Relationship Type="http://schemas.openxmlformats.org/officeDocument/2006/relationships/hyperlink" Target="https://meteor.aihw.gov.au/content/602700" TargetMode="External" Id="Rce899ed154c1443c" /><Relationship Type="http://schemas.openxmlformats.org/officeDocument/2006/relationships/hyperlink" Target="https://meteor.aihw.gov.au/RegistrationAuthority/8" TargetMode="External" Id="R4ffc0521c7a841b7" /></Relationships>
</file>

<file path=word/_rels/header1.xml.rels>&#65279;<?xml version="1.0" encoding="utf-8"?><Relationships xmlns="http://schemas.openxmlformats.org/package/2006/relationships"><Relationship Type="http://schemas.openxmlformats.org/officeDocument/2006/relationships/image" Target="/media/image.png" Id="R0818032215654018" /></Relationships>
</file>