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053514a0ea40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c185a133e47eb">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AHS and AATSIHS were conducted under the </w:t>
            </w:r>
            <w:r>
              <w:rPr>
                <w:rStyle w:val="row-content-rich-text"/>
                <w:i/>
              </w:rPr>
              <w:t xml:space="preserve">Census and Statistics Act 1905</w:t>
            </w:r>
            <w:r>
              <w:rPr>
                <w:rStyle w:val="row-content-rich-text"/>
              </w:rPr>
              <w:t xml:space="preserve">. The biomedical components (National Health Measures Survey (NHMS) and National Aboriginal and Torres Strait Islander Health Measures Survey (NATSIHMS)) were collected under the </w:t>
            </w:r>
            <w:r>
              <w:rPr>
                <w:rStyle w:val="row-content-rich-text"/>
                <w:i/>
              </w:rPr>
              <w:t xml:space="preserve">Privacy Act 1988 </w:t>
            </w:r>
            <w:r>
              <w:rPr>
                <w:rStyle w:val="row-content-rich-text"/>
              </w:rPr>
              <w:t xml:space="preserve">and were subject to ethics approval which at the national level was sought and gained from the (then) Australian Government Department of Health and Ageing‘s Departmental Ethics Committee.</w:t>
            </w:r>
          </w:p>
          <w:p>
            <w:pPr>
              <w:spacing w:after="160"/>
            </w:pPr>
            <w:r>
              <w:rPr>
                <w:rStyle w:val="row-content-rich-text"/>
              </w:rPr>
              <w:t xml:space="preserve">Ethics approval for the NATSIHMS component was also required at the jurisdictional level for New South Wales, Western Australia, the Northern Territory and for Queensland Health Service Districts.  Ethics approval was sought and gained from the following Ethics Committees:</w:t>
            </w:r>
          </w:p>
          <w:p>
            <w:pPr>
              <w:pStyle w:val="ListParagraph"/>
              <w:numPr>
                <w:ilvl w:val="0"/>
                <w:numId w:val="2"/>
              </w:numPr>
            </w:pPr>
            <w:r>
              <w:rPr>
                <w:rStyle w:val="row-content-rich-text"/>
              </w:rPr>
              <w:t xml:space="preserve">Aboriginal Health and Medical Research Council Ethics Committee in New South Wales</w:t>
            </w:r>
          </w:p>
          <w:p>
            <w:pPr>
              <w:pStyle w:val="ListParagraph"/>
              <w:numPr>
                <w:ilvl w:val="0"/>
                <w:numId w:val="2"/>
              </w:numPr>
            </w:pPr>
            <w:r>
              <w:rPr>
                <w:rStyle w:val="row-content-rich-text"/>
              </w:rPr>
              <w:t xml:space="preserve">Aboriginal Health Research Ethics Committee in South Australia</w:t>
            </w:r>
          </w:p>
          <w:p>
            <w:pPr>
              <w:pStyle w:val="ListParagraph"/>
              <w:numPr>
                <w:ilvl w:val="0"/>
                <w:numId w:val="2"/>
              </w:numPr>
            </w:pPr>
            <w:r>
              <w:rPr>
                <w:rStyle w:val="row-content-rich-text"/>
              </w:rPr>
              <w:t xml:space="preserve">Western Australian Aboriginal Health Ethics Committee in Western Australia</w:t>
            </w:r>
          </w:p>
          <w:p>
            <w:pPr>
              <w:pStyle w:val="ListParagraph"/>
              <w:numPr>
                <w:ilvl w:val="0"/>
                <w:numId w:val="2"/>
              </w:numPr>
            </w:pPr>
            <w:r>
              <w:rPr>
                <w:rStyle w:val="row-content-rich-text"/>
              </w:rPr>
              <w:t xml:space="preserve">Western Australian Country Health Service (WACHS) Research Ethics Committee in Western Australia</w:t>
            </w:r>
          </w:p>
          <w:p>
            <w:pPr>
              <w:pStyle w:val="ListParagraph"/>
              <w:numPr>
                <w:ilvl w:val="0"/>
                <w:numId w:val="2"/>
              </w:numPr>
            </w:pPr>
            <w:r>
              <w:rPr>
                <w:rStyle w:val="row-content-rich-text"/>
              </w:rPr>
              <w:t xml:space="preserve">Central Australian Human Research Ethics Committee in Northern Territory</w:t>
            </w:r>
          </w:p>
          <w:p>
            <w:pPr>
              <w:pStyle w:val="ListParagraph"/>
              <w:numPr>
                <w:ilvl w:val="0"/>
                <w:numId w:val="2"/>
              </w:numPr>
            </w:pPr>
            <w:r>
              <w:rPr>
                <w:rStyle w:val="row-content-rich-text"/>
              </w:rPr>
              <w:t xml:space="preserve">Human Research Ethics Committee of the Northern Territory Department of Health and Menzies School of Health Research in Northern Territory</w:t>
            </w:r>
          </w:p>
          <w:p>
            <w:pPr>
              <w:pStyle w:val="ListParagraph"/>
              <w:numPr>
                <w:ilvl w:val="0"/>
                <w:numId w:val="2"/>
              </w:numPr>
            </w:pPr>
            <w:r>
              <w:rPr>
                <w:rStyle w:val="row-content-rich-text"/>
              </w:rPr>
              <w:t xml:space="preserve">several Human Research Ethics Committees of Queensland Government Hospital and Health Services districts.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a4c57e7d0f4347f7">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NHMS was conducted in 2011–12 with results released in August 2013.</w:t>
            </w:r>
          </w:p>
          <w:p>
            <w:pPr/>
            <w:r>
              <w:rPr>
                <w:rStyle w:val="row-content-rich-text"/>
              </w:rPr>
              <w:t xml:space="preserve">The NATSIHMS was conducted in 2012–13 with results released in September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and the </w:t>
            </w:r>
            <w:r>
              <w:rPr>
                <w:rStyle w:val="row-content-rich-text"/>
                <w:i/>
              </w:rPr>
              <w:t xml:space="preserve">Australian Aboriginal and Torres Strait Islander Health Survey: Users' Guide </w:t>
            </w:r>
            <w:r>
              <w:rPr>
                <w:rStyle w:val="row-content-rich-text"/>
              </w:rPr>
              <w:t xml:space="preserve">(Cat. no. 4727.0.55.002)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NHMS and 2012–13 NATSIMHS use a combination of blood test results for fasting plasma glucose and self-reported information on diabetes diagnosis and medication use to measure prevalence of Type 2 diabetes.</w:t>
            </w:r>
          </w:p>
          <w:p>
            <w:pPr>
              <w:spacing w:after="160"/>
            </w:pPr>
            <w:r>
              <w:rPr>
                <w:rStyle w:val="row-content-rich-text"/>
              </w:rPr>
              <w:t xml:space="preserve">A respondent to the survey is considered to have known diabetes (type 2) if they had ever been told by a doctor or nurse that they have Type 2 diabetes and:</w:t>
            </w:r>
          </w:p>
          <w:p>
            <w:pPr>
              <w:pStyle w:val="ListParagraph"/>
              <w:numPr>
                <w:ilvl w:val="0"/>
                <w:numId w:val="3"/>
              </w:numPr>
            </w:pPr>
            <w:r>
              <w:rPr>
                <w:rStyle w:val="row-content-rich-text"/>
              </w:rPr>
              <w:t xml:space="preserve"> They were taking diabetes medication (either insulin or tablets); or</w:t>
            </w:r>
          </w:p>
          <w:p>
            <w:pPr>
              <w:pStyle w:val="ListParagraph"/>
              <w:numPr>
                <w:ilvl w:val="0"/>
                <w:numId w:val="3"/>
              </w:numPr>
            </w:pPr>
            <w:r>
              <w:rPr>
                <w:rStyle w:val="row-content-rich-text"/>
              </w:rPr>
              <w:t xml:space="preserve"> Their blood test result for fasting plasma glucose was greater than or equal to 7.0 mmol/L. </w:t>
            </w:r>
          </w:p>
          <w:p>
            <w:pPr>
              <w:spacing w:after="160"/>
            </w:pPr>
            <w:r>
              <w:rPr>
                <w:rStyle w:val="row-content-rich-text"/>
              </w:rPr>
              <w:t xml:space="preserve">A respondent to the survey is considered to have newly diagnosed diabetes if they reported no prior diagnosis of diabetes, but had a fasting plasma glucose value greater than or equal to 7.0 mmol/L.</w:t>
            </w:r>
          </w:p>
          <w:p>
            <w:pPr>
              <w:spacing w:after="160"/>
            </w:pPr>
            <w:r>
              <w:rPr>
                <w:rStyle w:val="row-content-rich-text"/>
              </w:rPr>
              <w:t xml:space="preserve">Note: The type of diabetes for newly diagnosed cases cannot be determined from a fasting plasma glucose test alone. However, as it is assumed that the vast majority of newly diagnosed cases would be Type 2, all newly diagnosed cases of diabetes have been included in this measure.</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37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w:t>
            </w:r>
          </w:p>
          <w:p>
            <w:pPr>
              <w:spacing w:after="160"/>
            </w:pPr>
            <w:r>
              <w:rPr>
                <w:rStyle w:val="row-content-rich-text"/>
              </w:rPr>
              <w:t xml:space="preserve">All selected persons aged 18 years and over in the AATSIHS were invited to participate in the voluntary NATSIHMS. Of these, 40 per cent went on to complete the biomedical component.</w:t>
            </w:r>
          </w:p>
          <w:p>
            <w:pPr>
              <w:spacing w:after="160"/>
            </w:pPr>
            <w:r>
              <w:rPr>
                <w:rStyle w:val="row-content-rich-text"/>
              </w:rPr>
              <w:t xml:space="preserve">Analysis of the sample showed that the characteristics of persons who participated in the NATSIHMS were similar to those for the AATSIHS overall. For more information, see the Explanatory Notes in </w:t>
            </w:r>
            <w:r>
              <w:rPr>
                <w:rStyle w:val="row-content-rich-text"/>
                <w:i/>
              </w:rPr>
              <w:t xml:space="preserve">Australian Aboriginal and Torres Strait Islander Health Survey: Biomedical Results </w:t>
            </w:r>
            <w:r>
              <w:rPr>
                <w:rStyle w:val="row-content-rich-text"/>
              </w:rPr>
              <w:t xml:space="preserve">(Cat. no. 4727.0.55.003).</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77.6% of adults who participated in the NATSIHMS).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For the general and non-Indigenous populations, this indicator and the supplementary indicator generally have acceptable levels of sampling error for State/Territory by sex. However, rates for females in Victoria, males in the Australian Capital Territory, and males and females in the Northern Territory should be used with caution.</w:t>
            </w:r>
          </w:p>
          <w:p>
            <w:pPr/>
            <w:r>
              <w:rPr>
                <w:rStyle w:val="row-content-rich-text"/>
              </w:rPr>
              <w:t xml:space="preserve">For the Aboriginal and Torres Strait Islander population, rates for males and females in Queensland, females in Western Australian and South Australia, and males in the Northern Territory should be used with caution. Additionally, the rate for total all persons in South Australia should be used with caution. The rate for males in South Australia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The AHS collected a range of other health-related information that can be analysed in conjunction with diabetes status.</w:t>
            </w:r>
          </w:p>
          <w:p>
            <w:pPr>
              <w:spacing w:after="160"/>
            </w:pPr>
            <w:r>
              <w:rPr>
                <w:rStyle w:val="row-content-rich-text"/>
              </w:rPr>
              <w:t xml:space="preserve">Other non-ABS collections, such as the 1999–2000 Australian Diabetes, Obesity and Lifestyle Study (AusDiab) and the 2009–10 Victorian Health Monitor (VHM) have reported estimates of diabetes prevalence based on biomedical measures and self-reported diagnosis and medication use.</w:t>
            </w:r>
          </w:p>
          <w:p>
            <w:pPr>
              <w:spacing w:after="160"/>
            </w:pPr>
            <w:r>
              <w:rPr>
                <w:rStyle w:val="row-content-rich-text"/>
              </w:rPr>
              <w:t xml:space="preserve">Results from the recent VHM were very similar to those from the NHMS. Results from AusDiab showed higher estimates of diabetes than the NHMS, however this difference is most likely due to the difference in test used to measure diabetes (AusDiab used an Oral Glucose Tolerance test, which is a more comprehensive test for diabetes than fasting plasma glucose).</w:t>
            </w:r>
          </w:p>
          <w:p>
            <w:pPr/>
            <w:r>
              <w:rPr>
                <w:rStyle w:val="row-content-rich-text"/>
              </w:rPr>
              <w:t xml:space="preserve">For information on how these studies compare, see </w:t>
            </w:r>
            <w:r>
              <w:rPr>
                <w:rStyle w:val="row-content-rich-text"/>
                <w:i/>
              </w:rPr>
              <w:t xml:space="preserve">Australian Health Survey: Biomedical Results for Chronic Disease</w:t>
            </w:r>
            <w:r>
              <w:rPr>
                <w:rStyle w:val="row-content-rich-text"/>
              </w:rPr>
              <w:t xml:space="preserve"> (Cat. no. 4364.0.55.005).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af6319abad411f">
              <w:r>
                <w:rPr>
                  <w:rStyle w:val="Hyperlink"/>
                </w:rPr>
                <w:t xml:space="preserve">National Healthcare Agreement: PI 10-Prevalence of Type 2 diabetes, 2014 QS</w:t>
              </w:r>
            </w:hyperlink>
          </w:p>
          <w:p>
            <w:pPr>
              <w:pStyle w:val="registration-status"/>
              <w:spacing w:before="0" w:after="0"/>
            </w:pPr>
            <w:hyperlink w:history="true" r:id="Rac7f05d827bf4d8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a78684795a041c0">
              <w:r>
                <w:rPr>
                  <w:rStyle w:val="Hyperlink"/>
                </w:rPr>
                <w:t xml:space="preserve">National Healthcare Agreement: PI 10-Prevalence of Type 2 diabetes, 2015</w:t>
              </w:r>
            </w:hyperlink>
          </w:p>
          <w:p>
            <w:pPr>
              <w:pStyle w:val="registration-status"/>
              <w:spacing w:before="0" w:after="0"/>
            </w:pPr>
            <w:hyperlink w:history="true" r:id="R2ed6c9557619467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1d563be323d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ff3f5a8e3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563be323d489d" /><Relationship Type="http://schemas.openxmlformats.org/officeDocument/2006/relationships/header" Target="/word/header1.xml" Id="Rb503dd25fe694f3a" /><Relationship Type="http://schemas.openxmlformats.org/officeDocument/2006/relationships/settings" Target="/word/settings.xml" Id="R3dd1d81ba1e6423c" /><Relationship Type="http://schemas.openxmlformats.org/officeDocument/2006/relationships/styles" Target="/word/styles.xml" Id="Rec14929e2120495a" /><Relationship Type="http://schemas.openxmlformats.org/officeDocument/2006/relationships/numbering" Target="/word/numbering.xml" Id="Rb5a48deb61bf487c" /><Relationship Type="http://schemas.openxmlformats.org/officeDocument/2006/relationships/hyperlink" Target="https://meteor.aihw.gov.au/RegistrationAuthority/12" TargetMode="External" Id="Rae2c185a133e47eb" /><Relationship Type="http://schemas.openxmlformats.org/officeDocument/2006/relationships/hyperlink" Target="http://www.abs.gov.au/" TargetMode="External" Id="Ra4c57e7d0f4347f7" /><Relationship Type="http://schemas.openxmlformats.org/officeDocument/2006/relationships/hyperlink" Target="https://meteor.aihw.gov.au/content/555622" TargetMode="External" Id="Rb9af6319abad411f" /><Relationship Type="http://schemas.openxmlformats.org/officeDocument/2006/relationships/hyperlink" Target="https://meteor.aihw.gov.au/RegistrationAuthority/12" TargetMode="External" Id="Rac7f05d827bf4d84" /><Relationship Type="http://schemas.openxmlformats.org/officeDocument/2006/relationships/hyperlink" Target="https://meteor.aihw.gov.au/content/559048" TargetMode="External" Id="R7a78684795a041c0" /><Relationship Type="http://schemas.openxmlformats.org/officeDocument/2006/relationships/hyperlink" Target="https://meteor.aihw.gov.au/RegistrationAuthority/12" TargetMode="External" Id="R2ed6c9557619467f" /></Relationships>
</file>

<file path=word/_rels/header1.xml.rels>&#65279;<?xml version="1.0" encoding="utf-8"?><Relationships xmlns="http://schemas.openxmlformats.org/package/2006/relationships"><Relationship Type="http://schemas.openxmlformats.org/officeDocument/2006/relationships/image" Target="/media/image.png" Id="R02eff3f5a8e34ca7" /></Relationships>
</file>