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016bfdde134a6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17feeb7254b19">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ac2eaa0baebb457c">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2013–14 data used for this indicator became available from 28 November 2014.</w:t>
            </w:r>
          </w:p>
          <w:p>
            <w:pPr>
              <w:spacing w:after="160"/>
            </w:pPr>
            <w:r>
              <w:rPr>
                <w:rStyle w:val="row-content-rich-text"/>
              </w:rPr>
              <w:t xml:space="preserve">Referenced Period: July 2013 to June 2014.</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data on GPs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w:t>
            </w:r>
            <w:r>
              <w:rPr>
                <w:rStyle w:val="row-content-rich-text"/>
                <w:i/>
              </w:rPr>
              <w:t xml:space="preserve">Patient Experiences in Australia: Summary of Findings, 2012-13</w:t>
            </w:r>
            <w:r>
              <w:rPr>
                <w:rStyle w:val="row-content-rich-text"/>
              </w:rPr>
              <w:t xml:space="preserve"> and </w:t>
            </w:r>
            <w:r>
              <w:rPr>
                <w:rStyle w:val="row-content-rich-text"/>
                <w:i/>
              </w:rPr>
              <w:t xml:space="preserve">Patient Experiences in Australia: Summary of Findings, 2013-14</w:t>
            </w:r>
            <w:r>
              <w:rPr>
                <w:rStyle w:val="row-content-rich-text"/>
              </w:rPr>
              <w:t xml:space="preserve"> (cat. no. 4839.0).</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2013-14</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Socio-economic Indexes for Areas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Decile 1 contains the bottom 10% of CDs, Decile 2 contains the next 10% of CDs and so on. Further information on SEIFA can be found in the ABS Technical paper </w:t>
            </w:r>
            <w:hyperlink w:history="true" r:id="R49a74abebf7f43b9">
              <w:r>
                <w:rPr>
                  <w:rStyle w:val="Hyperlink"/>
                  <w:i/>
                </w:rPr>
                <w:t xml:space="preserve">Socio-Economic Indexes for Areas 2011</w:t>
              </w:r>
            </w:hyperlink>
            <w:r>
              <w:rPr>
                <w:rStyle w:val="row-content-rich-text"/>
              </w:rPr>
              <w:t xml:space="preserve">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2013-14</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Sex, 2011 SEIFA (Index of Relative Socio-economic Disadvantage)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2013–14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 The definition of 'urgent medical care' was left up to the respondent, although discretionary interviewer advice was that going to the GP for a medical certificate for work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spacing w:after="160"/>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p>
            <w:pPr>
              <w:spacing w:after="160"/>
            </w:pPr>
            <w:r>
              <w:rPr>
                <w:rStyle w:val="row-content-rich-text"/>
                <w:u w:val="single"/>
              </w:rPr>
              <w:t xml:space="preserve">Confidentiality:</w:t>
            </w:r>
          </w:p>
          <w:p>
            <w:pPr>
              <w:spacing w:after="160"/>
            </w:pPr>
            <w:r>
              <w:rPr>
                <w:rStyle w:val="row-content-rich-text"/>
              </w:rPr>
              <w:t xml:space="preserve">For the first time in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waiting time category “4 hours or more but within 24 hours”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Known Issues: Data was self-reported and interpretation of urgent medical care was left up the respondent.</w:t>
            </w:r>
          </w:p>
          <w:p>
            <w:pPr>
              <w:spacing w:after="160"/>
            </w:pPr>
            <w:r>
              <w:rPr>
                <w:rStyle w:val="row-content-rich-text"/>
              </w:rPr>
              <w:t xml:space="preserve">The data is self-reported but not attitudinal, as respondents are reporting their experiences of using the health system (in this instance, the time they waited between making an appointment for urgent medical care and the time they got to see the GP).</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Questions relating to this indicator were also asked in 2010–11, 2011–12, 2012–13 and 2013–14.</w:t>
            </w:r>
          </w:p>
          <w:p>
            <w:pPr>
              <w:spacing w:after="160"/>
            </w:pPr>
            <w:r>
              <w:rPr>
                <w:rStyle w:val="row-content-rich-text"/>
              </w:rPr>
              <w:t xml:space="preserve">Time series issues: 2013–14 is comparable to 2012–13 and 2011–12, but not before this (i.e. 2013–14 is not comparable to 2010–11 or 2009).  This has been footnoted in the relevant tables. The reason for the comparability issues stem from a significant change in question wording and coding methodology in the 2011–12 Patient Experience Survey for the ‘waiting times for GPs’ questions, and this has had an impact on the data.</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c51b3d2bb24986">
              <w:r>
                <w:rPr>
                  <w:rStyle w:val="Hyperlink"/>
                </w:rPr>
                <w:t xml:space="preserve">National Healthcare Agreement: PI 12-Waiting times for GPs (Patient Experience Survey), 2014 QS</w:t>
              </w:r>
            </w:hyperlink>
          </w:p>
          <w:p>
            <w:pPr>
              <w:spacing w:before="0" w:after="0"/>
            </w:pPr>
            <w:r>
              <w:rPr>
                <w:rStyle w:val="row-content"/>
                <w:color w:val="244061"/>
              </w:rPr>
              <w:t xml:space="preserve">       </w:t>
            </w:r>
            <w:hyperlink w:history="true" r:id="R1be0795a3614472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8c5f85fbbe94ec4">
              <w:r>
                <w:rPr>
                  <w:rStyle w:val="Hyperlink"/>
                </w:rPr>
                <w:t xml:space="preserve">National Healthcare Agreement: PI 12-Waiting times for GPs, 2016 QS</w:t>
              </w:r>
            </w:hyperlink>
          </w:p>
          <w:p>
            <w:pPr>
              <w:spacing w:before="0" w:after="0"/>
            </w:pPr>
            <w:r>
              <w:rPr>
                <w:rStyle w:val="row-content"/>
                <w:color w:val="244061"/>
              </w:rPr>
              <w:t xml:space="preserve">       </w:t>
            </w:r>
            <w:hyperlink w:history="true" r:id="Ra8046d9c634f40d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cedd31d885b4283">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d162544e0f12458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d6090167c2746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559121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a4c526f92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090167c2746e9" /><Relationship Type="http://schemas.openxmlformats.org/officeDocument/2006/relationships/header" Target="/word/header1.xml" Id="Rdf70ec96a2164b27" /><Relationship Type="http://schemas.openxmlformats.org/officeDocument/2006/relationships/settings" Target="/word/settings.xml" Id="R00106e2161f141b4" /><Relationship Type="http://schemas.openxmlformats.org/officeDocument/2006/relationships/styles" Target="/word/styles.xml" Id="Ref21868b496f4683" /><Relationship Type="http://schemas.openxmlformats.org/officeDocument/2006/relationships/hyperlink" Target="https://meteor.aihw.gov.au/RegistrationAuthority/12" TargetMode="External" Id="Rd5c17feeb7254b19" /><Relationship Type="http://schemas.openxmlformats.org/officeDocument/2006/relationships/hyperlink" Target="http://www.abs.gov.au" TargetMode="External" Id="Rac2eaa0baebb457c" /><Relationship Type="http://schemas.openxmlformats.org/officeDocument/2006/relationships/hyperlink" Target="http://www.abs.gov.au/AUSSTATS/abs@.nsf/Lookup/2033.0.55.001Main+Features12011?OpenDocument" TargetMode="External" Id="R49a74abebf7f43b9" /><Relationship Type="http://schemas.openxmlformats.org/officeDocument/2006/relationships/numbering" Target="/word/numbering.xml" Id="Rda8f023da04f40ce" /><Relationship Type="http://schemas.openxmlformats.org/officeDocument/2006/relationships/hyperlink" Target="https://meteor.aihw.gov.au/content/517750" TargetMode="External" Id="Rd4c51b3d2bb24986" /><Relationship Type="http://schemas.openxmlformats.org/officeDocument/2006/relationships/hyperlink" Target="https://meteor.aihw.gov.au/RegistrationAuthority/12" TargetMode="External" Id="R1be0795a36144724" /><Relationship Type="http://schemas.openxmlformats.org/officeDocument/2006/relationships/hyperlink" Target="https://meteor.aihw.gov.au/content/600088" TargetMode="External" Id="R18c5f85fbbe94ec4" /><Relationship Type="http://schemas.openxmlformats.org/officeDocument/2006/relationships/hyperlink" Target="https://meteor.aihw.gov.au/RegistrationAuthority/12" TargetMode="External" Id="Ra8046d9c634f40d8" /><Relationship Type="http://schemas.openxmlformats.org/officeDocument/2006/relationships/hyperlink" Target="https://meteor.aihw.gov.au/content/559044" TargetMode="External" Id="Recedd31d885b4283" /><Relationship Type="http://schemas.openxmlformats.org/officeDocument/2006/relationships/hyperlink" Target="https://meteor.aihw.gov.au/RegistrationAuthority/12" TargetMode="External" Id="Rd162544e0f12458a" /></Relationships>
</file>

<file path=word/_rels/header1.xml.rels>&#65279;<?xml version="1.0" encoding="utf-8"?><Relationships xmlns="http://schemas.openxmlformats.org/package/2006/relationships"><Relationship Type="http://schemas.openxmlformats.org/officeDocument/2006/relationships/image" Target="/media/image.png" Id="Re50a4c526f924966" /></Relationships>
</file>