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8fced6e52f4e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271dcc7b9493c">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7357c78f811f472a">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2013-14 </w:t>
            </w:r>
            <w:r>
              <w:rPr>
                <w:rStyle w:val="row-content-rich-text"/>
              </w:rPr>
              <w:t xml:space="preserve">(cat.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of CDs, Decile 2 contains the next 10% of CDs and so on. Further information on SEIFA can be found in the ABS Technical paper</w:t>
            </w:r>
            <w:hyperlink w:history="true" r:id="R0f788b9967584176">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The standard errors for the key data items in this indicator are relatively low and provide reliable state and territory data as well as remoteness breakdowns. An exception to this would be data for the “other” remoteness category when cross classified by State, which can result in high RSEs. Caution should be used when interpreting these data.</w:t>
            </w:r>
          </w:p>
          <w:p>
            <w:pPr/>
            <w:r>
              <w:rPr>
                <w:rStyle w:val="row-content-rich-text"/>
              </w:rPr>
              <w:t xml:space="preserve">Known Issues: Data was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Time series issues with this indicator are outlined below.</w:t>
            </w:r>
          </w:p>
          <w:p>
            <w:pPr>
              <w:spacing w:after="160"/>
            </w:pPr>
            <w:r>
              <w:rPr>
                <w:rStyle w:val="row-content-rich-text"/>
              </w:rPr>
              <w:t xml:space="preserve">Delayed or did not see GP due to cost: 2013–14 is comparable to 2012–13, but not before this (i.e. not comparable to 2011–12, 2010–11 or 2009. While the question wording itself did not change, the position in the survey (i.e.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rPr>
              <w:t xml:space="preserve">Delayed or did not get prescription filled due to cost: 2013–14 is comparable to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f9544a634c4e42">
              <w:r>
                <w:rPr>
                  <w:rStyle w:val="Hyperlink"/>
                </w:rPr>
                <w:t xml:space="preserve">National Healthcare Agreement: PI 14-People deferring access to selected healthcare due to financial barriers (Patient Experience Survey), 2014 QS</w:t>
              </w:r>
            </w:hyperlink>
          </w:p>
          <w:p>
            <w:pPr>
              <w:spacing w:before="0" w:after="0"/>
            </w:pPr>
            <w:r>
              <w:rPr>
                <w:rStyle w:val="row-content"/>
                <w:color w:val="244061"/>
              </w:rPr>
              <w:t xml:space="preserve">       </w:t>
            </w:r>
            <w:hyperlink w:history="true" r:id="Rd7f6370c5ff04dd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3fd5150d9cd4799">
              <w:r>
                <w:rPr>
                  <w:rStyle w:val="Hyperlink"/>
                </w:rPr>
                <w:t xml:space="preserve">National Healthcare Agreement: PI 14-People deferring access to selected healthcare due to financial barriers, 2016 QS</w:t>
              </w:r>
            </w:hyperlink>
          </w:p>
          <w:p>
            <w:pPr>
              <w:spacing w:before="0" w:after="0"/>
            </w:pPr>
            <w:r>
              <w:rPr>
                <w:rStyle w:val="row-content"/>
                <w:color w:val="244061"/>
              </w:rPr>
              <w:t xml:space="preserve">       </w:t>
            </w:r>
            <w:hyperlink w:history="true" r:id="R1bd33733ca69472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87885dbcac94e2e">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aed0fe59b4f246f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9502567a1b4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c85e4b8f4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02567a1b44dee" /><Relationship Type="http://schemas.openxmlformats.org/officeDocument/2006/relationships/header" Target="/word/header1.xml" Id="Rbee8c8141c314f36" /><Relationship Type="http://schemas.openxmlformats.org/officeDocument/2006/relationships/settings" Target="/word/settings.xml" Id="R0989aa271a8d493a" /><Relationship Type="http://schemas.openxmlformats.org/officeDocument/2006/relationships/styles" Target="/word/styles.xml" Id="R51bc6cdf1ac6482b" /><Relationship Type="http://schemas.openxmlformats.org/officeDocument/2006/relationships/hyperlink" Target="https://meteor.aihw.gov.au/RegistrationAuthority/12" TargetMode="External" Id="R9f2271dcc7b9493c" /><Relationship Type="http://schemas.openxmlformats.org/officeDocument/2006/relationships/hyperlink" Target="http://www.abs.gov.au" TargetMode="External" Id="R7357c78f811f472a" /><Relationship Type="http://schemas.openxmlformats.org/officeDocument/2006/relationships/hyperlink" Target="http://www.abs.gov.au/AUSSTATS/abs@.nsf/Lookup/2033.0.55.001Main+Features12011?OpenDocument" TargetMode="External" Id="R0f788b9967584176" /><Relationship Type="http://schemas.openxmlformats.org/officeDocument/2006/relationships/numbering" Target="/word/numbering.xml" Id="R5c3c5469d27b440d" /><Relationship Type="http://schemas.openxmlformats.org/officeDocument/2006/relationships/hyperlink" Target="https://meteor.aihw.gov.au/content/517745" TargetMode="External" Id="R5ef9544a634c4e42" /><Relationship Type="http://schemas.openxmlformats.org/officeDocument/2006/relationships/hyperlink" Target="https://meteor.aihw.gov.au/RegistrationAuthority/12" TargetMode="External" Id="Rd7f6370c5ff04dd1" /><Relationship Type="http://schemas.openxmlformats.org/officeDocument/2006/relationships/hyperlink" Target="https://meteor.aihw.gov.au/content/600092" TargetMode="External" Id="R63fd5150d9cd4799" /><Relationship Type="http://schemas.openxmlformats.org/officeDocument/2006/relationships/hyperlink" Target="https://meteor.aihw.gov.au/RegistrationAuthority/12" TargetMode="External" Id="R1bd33733ca694726" /><Relationship Type="http://schemas.openxmlformats.org/officeDocument/2006/relationships/hyperlink" Target="https://meteor.aihw.gov.au/content/559040" TargetMode="External" Id="Rc87885dbcac94e2e" /><Relationship Type="http://schemas.openxmlformats.org/officeDocument/2006/relationships/hyperlink" Target="https://meteor.aihw.gov.au/RegistrationAuthority/12" TargetMode="External" Id="Raed0fe59b4f246fd" /></Relationships>
</file>

<file path=word/_rels/header1.xml.rels>&#65279;<?xml version="1.0" encoding="utf-8"?><Relationships xmlns="http://schemas.openxmlformats.org/package/2006/relationships"><Relationship Type="http://schemas.openxmlformats.org/officeDocument/2006/relationships/image" Target="/media/image.png" Id="R79bc85e4b8f445e4" /></Relationships>
</file>