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21ece68b7c4f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de19f0842447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w:t>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community data. Australian totals for 2011-12 and 2012-13 should therefore be interpreted with caution.</w:t>
            </w:r>
          </w:p>
          <w:p>
            <w:pPr>
              <w:pStyle w:val="ListParagraph"/>
              <w:numPr>
                <w:ilvl w:val="0"/>
                <w:numId w:val="2"/>
              </w:numPr>
            </w:pPr>
            <w:r>
              <w:rPr>
                <w:rStyle w:val="row-content-rich-text"/>
              </w:rPr>
              <w:t xml:space="preserve">SEIFA data for 2011-12 are not directly comparable with SEIFA for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tables for this indicator were prepared by the Australian Institute of Health and Welfare (AIHW) based on data supplied by state and territory health authorities.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AIHW drafted the initial data quality statement (including providing input about the methodology used to extract the data and any data anomalies) in consultation with State and Territory health authorities.</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 The AIHW does not hold the relevant nationally mandated datasets required to independently verify the data tables for this indicator.</w:t>
            </w:r>
          </w:p>
          <w:p>
            <w:pPr>
              <w:spacing w:after="160"/>
            </w:pPr>
            <w:r>
              <w:rPr>
                <w:rStyle w:val="row-content-rich-text"/>
              </w:rPr>
              <w:t xml:space="preserve">Community mental health services and public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for publication in the Report on government services 2015 and for the indicators section of the AIHW’s </w:t>
            </w:r>
          </w:p>
          <w:p>
            <w:hyperlink w:history="true" r:id="R45dc10c016e2409d">
              <w:r>
                <w:rPr>
                  <w:rStyle w:val="Hyperlink"/>
                  <w:i/>
                </w:rPr>
                <w:t xml:space="preserve">Mental health services in Australia</w:t>
              </w:r>
            </w:hyperlink>
            <w:r>
              <w:rPr>
                <w:rStyle w:val="row-content-rich-text"/>
              </w:rPr>
              <w:t xml:space="preserve">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in the:</w:t>
            </w:r>
          </w:p>
          <w:p>
            <w:pPr>
              <w:pStyle w:val="ListParagraph"/>
              <w:numPr>
                <w:ilvl w:val="0"/>
                <w:numId w:val="3"/>
              </w:numPr>
            </w:pPr>
            <w:r>
              <w:rPr>
                <w:rStyle w:val="row-content-rich-text"/>
                <w:i/>
              </w:rPr>
              <w:t xml:space="preserve">Report on Government Services </w:t>
            </w:r>
            <w:r>
              <w:rPr>
                <w:rStyle w:val="row-content-rich-text"/>
              </w:rPr>
              <w:t xml:space="preserve">available at </w:t>
            </w:r>
            <w:hyperlink w:history="true" r:id="Rbee52dcf89ff41b6">
              <w:r>
                <w:rPr>
                  <w:rStyle w:val="Hyperlink"/>
                </w:rPr>
                <w:t xml:space="preserve">www.pc.gov.au/gsp/rogs</w:t>
              </w:r>
            </w:hyperlink>
            <w:r>
              <w:rPr>
                <w:rStyle w:val="row-content-rich-text"/>
              </w:rPr>
              <w:t xml:space="preserve">.</w:t>
            </w:r>
            <w:r>
              <w:br/>
            </w:r>
          </w:p>
          <w:p>
            <w:pPr>
              <w:pStyle w:val="ListParagraph"/>
              <w:numPr>
                <w:ilvl w:val="0"/>
                <w:numId w:val="3"/>
              </w:numPr>
            </w:pPr>
            <w:r>
              <w:rPr>
                <w:rStyle w:val="row-content-rich-text"/>
              </w:rPr>
              <w:t xml:space="preserve">Key Performance Indicators for Australian Public Mental Health Services set (available at </w:t>
            </w:r>
            <w:hyperlink w:history="true" r:id="Ra4fe635e97e54f02">
              <w:r>
                <w:rPr>
                  <w:rStyle w:val="Hyperlink"/>
                </w:rPr>
                <w:t xml:space="preserve">mhsa.aihw.gov.au/indicators/nkpi/</w:t>
              </w:r>
            </w:hyperlink>
            <w:r>
              <w:rPr>
                <w:rStyle w:val="row-content-rich-text"/>
              </w:rPr>
              <w:t xml:space="preser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Definitions for this indicator are published in the indicator specifications in </w:t>
            </w:r>
            <w:hyperlink w:history="true" r:id="R9c16b5a55cca4476">
              <w:r>
                <w:rPr>
                  <w:rStyle w:val="Hyperlink"/>
                </w:rPr>
                <w:t xml:space="preserve">METeOR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all ‘in scope’ separations from state and territory psychiatric acute inpatient units, where ‘in scope’ is defined as those separations for which it is meaningful to examine community follow-up rates. The following separations were excluded: same day separations; overnight separations that occur through discharge/transfer to another acute hospital; discharge to an(other) psychiatric hospital; statistical discharge – type change; left against medical advice/discharge at own risk;  death; separations where the length of stay is one night and a procedure code for ECT is recorded and separations that end by transfer to community residential mental health services.</w:t>
            </w:r>
          </w:p>
          <w:p>
            <w:pPr>
              <w:spacing w:after="160"/>
            </w:pPr>
            <w:r>
              <w:rPr>
                <w:rStyle w:val="row-content-rich-text"/>
              </w:rPr>
              <w:t xml:space="preserve">Data for all years reflect full financial year activity – that is, all in scope separations from public sector acute psychiatric units between the period 1 July and 30 June for each financial year.</w:t>
            </w:r>
          </w:p>
          <w:p>
            <w:pPr>
              <w:spacing w:after="160"/>
            </w:pPr>
            <w:r>
              <w:rPr>
                <w:rStyle w:val="row-content-rich-text"/>
              </w:rP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 with the exception of the Northern Territory which includes all contacts, but advised that the impact on the indicator is believed to be marginal. Contacts made on the day of discharge are also excluded for all jurisdictions.</w:t>
            </w:r>
          </w:p>
          <w:p>
            <w:pPr>
              <w:spacing w:after="160"/>
            </w:pPr>
            <w:r>
              <w:rPr>
                <w:rStyle w:val="row-content-rich-text"/>
              </w:rPr>
              <w:t xml:space="preserve">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pPr>
              <w:spacing w:after="160"/>
            </w:pPr>
            <w:r>
              <w:rPr>
                <w:rStyle w:val="row-content-rich-text"/>
              </w:rPr>
              <w:t xml:space="preserve">States and territories vary in their capacity to accurately track post-discharge follow up between hospital and community mental health care services, due to the lack of unique patient identifiers or data matching systems. South Australia was the only jurisdiction that indicated that the data submitted were not based on unique patient identifier or data matching approaches for 2012-13. This factor can contribute to a comparatively lower follow-up rate for South Australia.</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It is likely that an improved patient identification system will increase the percentage post-discharge community care reported by Tasmania. Therefore, Tasmanian data is not comparable across years.</w:t>
            </w:r>
          </w:p>
          <w:p>
            <w:pPr>
              <w:spacing w:after="160"/>
            </w:pPr>
            <w:r>
              <w:rPr>
                <w:rStyle w:val="row-content-rich-text"/>
              </w:rPr>
              <w:t xml:space="preserve">Western Australia indicated that submitted data was not based on a unique state-wide patient identifier system. It is likely that this reduces the rate of post-discharge community care reported for Western Australia.</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The new remoteness areas are referred to as RA 2011.  The new SEIFA are referred to as SEIFA 2011, and the previous SEIFA as SEIFA 2006.</w:t>
            </w:r>
          </w:p>
          <w:p>
            <w:pPr>
              <w:spacing w:after="160"/>
            </w:pPr>
            <w:r>
              <w:rPr>
                <w:rStyle w:val="row-content-rich-text"/>
              </w:rPr>
              <w:t xml:space="preserve">Data for 2011–12 and subsequent years are reported for RA 2011.</w:t>
            </w:r>
          </w:p>
          <w:p>
            <w:pPr>
              <w:spacing w:after="160"/>
            </w:pPr>
            <w:r>
              <w:rPr>
                <w:rStyle w:val="row-content-rich-text"/>
              </w:rPr>
              <w:t xml:space="preserve">Data for 2011–12 are reported using SEIFA 2011 at the Statistical Local Area level (an ASGC substate geographical unit).  Data for 2012-13 are reported using SEIFA 2011 at the Statistical Area (SA) 2 level (an ASGS substate geographical unit). The AIHW considers the change from SLA to SA2 to be a series break when applied to data supplied for this indicator.  Therefore, SEIFA data for 2011-12 are not directly comparable with SEIFA data for 2012-13 and subsequent years.</w:t>
            </w:r>
          </w:p>
          <w:p>
            <w:pPr>
              <w:spacing w:after="160"/>
            </w:pPr>
            <w:r>
              <w:rPr>
                <w:rStyle w:val="row-content-rich-text"/>
              </w:rPr>
              <w:t xml:space="preserve">Remoteness and socioeconomic status have been allocated using the SA2 of the client at last contact. For 2012–13 data all jurisdictions have used the same concordance and proportionally allocated records to remoteness and Socio-Economic Indexes for Areas (SEIFA) categories with the following exception:</w:t>
            </w:r>
          </w:p>
          <w:p>
            <w:pPr>
              <w:pStyle w:val="ListParagraph"/>
              <w:numPr>
                <w:ilvl w:val="0"/>
                <w:numId w:val="4"/>
              </w:numPr>
            </w:pPr>
            <w:r>
              <w:rPr>
                <w:rStyle w:val="row-content-rich-text"/>
              </w:rPr>
              <w:t xml:space="preserve">New South Wales, Victoria and Tasmania used postcode concordance (rather than SA2 concordance) to allocate records to remoteness and SEIFA. </w:t>
            </w:r>
          </w:p>
          <w:p>
            <w:pPr/>
            <w:r>
              <w:rPr>
                <w:rStyle w:val="row-content-rich-text"/>
              </w:rPr>
              <w:t xml:space="preserve">Remoteness and socioeconomic status have been allocated using the client’s usual residence, not the location of the service provider except for the Northern Territory data for which the majority of the data was based on the location of the service.  State/territory is reported for the state/territory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jurisdictions differ in their capacity to accurately track post-discharge follow up between hospital and community service organisations (see Relevance section above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Specifications for this indicator were revised for the National Healthcare Agreement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w:t>
            </w:r>
          </w:p>
          <w:p>
            <w:pPr>
              <w:spacing w:after="160"/>
            </w:pPr>
            <w:r>
              <w:rPr>
                <w:rStyle w:val="row-content-rich-text"/>
              </w:rPr>
              <w:t xml:space="preserve">This indicator is currently reported in the Report on government services and in the Indicators section of the AIHW’s </w:t>
            </w:r>
            <w:hyperlink w:history="true" r:id="Re30eda4f317245ee">
              <w:r>
                <w:rPr>
                  <w:rStyle w:val="Hyperlink"/>
                  <w:i/>
                </w:rPr>
                <w:t xml:space="preserve">Mental health services in Australia</w:t>
              </w:r>
            </w:hyperlink>
            <w:r>
              <w:rPr>
                <w:rStyle w:val="row-content-rich-text"/>
              </w:rPr>
              <w:t xml:space="preserve"> website. It is also equivalent to the Key Performance Indicators for Australian Public Mental Health Services: MHS PI 12—Rates of post-discharge community care (which this new indicator is based on) and the Fourth National Mental Health Plan: NMHP PI 16—Rates of post-discharge community care.</w:t>
            </w:r>
          </w:p>
          <w:p>
            <w:pPr>
              <w:spacing w:after="160"/>
            </w:pPr>
            <w:r>
              <w:rPr>
                <w:rStyle w:val="row-content-rich-text"/>
              </w:rPr>
              <w:t xml:space="preserve">Clarification of the scope of the separations data was made to the 2012–13 data specification, however, jurisdictions advised that the impact on the overall data is likely to be minimal. Therefore, data is considered comparable across years in terms of the definitions.</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w:t>
            </w:r>
          </w:p>
          <w:p>
            <w:pPr>
              <w:spacing w:after="160"/>
            </w:pPr>
            <w:r>
              <w:rPr>
                <w:rStyle w:val="row-content-rich-text"/>
              </w:rPr>
              <w:t xml:space="preserve">Industrial action during the 2011-12 and 2012-13 collection periods in Tasmania has limited the available data quality and quantity of community data. Australian totals for 2011-12 and 2012–13 should therefore be interpreted with caution.</w:t>
            </w:r>
          </w:p>
          <w:p>
            <w:pPr>
              <w:spacing w:after="160"/>
            </w:pPr>
            <w:r>
              <w:rPr>
                <w:rStyle w:val="row-content-rich-text"/>
              </w:rPr>
              <w:t xml:space="preserve">For 2012-13, the ACT has refined its calculation methodology and as such, comparisons to previous years’ results should be viewed with caution.</w:t>
            </w:r>
          </w:p>
          <w:p>
            <w:pPr>
              <w:spacing w:after="160"/>
            </w:pPr>
            <w:r>
              <w:rPr>
                <w:rStyle w:val="row-content-rich-text"/>
              </w:rPr>
              <w:t xml:space="preserve">All jurisdictions have used the same concordance and proportionally allocated records to remoteness and Socio-Economic Indexes for Areas (SEIFA) categories.</w:t>
            </w:r>
          </w:p>
          <w:p>
            <w:pPr/>
            <w:r>
              <w:rPr>
                <w:rStyle w:val="row-content-rich-text"/>
              </w:rPr>
              <w:t xml:space="preserve">Source systems vary in terms of whether location data for the patient's usual address is SA2 versus postcode.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93134854574964">
              <w:r>
                <w:rPr>
                  <w:rStyle w:val="Hyperlink"/>
                </w:rPr>
                <w:t xml:space="preserve">National Healthcare Agreement: PI 25-Rate of community follow up within first seven days of discharge from a psychiatric admission, 2014 QS</w:t>
              </w:r>
            </w:hyperlink>
          </w:p>
          <w:p>
            <w:pPr>
              <w:pStyle w:val="registration-status"/>
              <w:spacing w:before="0" w:after="0"/>
            </w:pPr>
            <w:hyperlink w:history="true" r:id="Re251aa62d4e04e8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8b65f7eb4a74ddf">
              <w:r>
                <w:rPr>
                  <w:rStyle w:val="Hyperlink"/>
                </w:rPr>
                <w:t xml:space="preserve">National Healthcare Agreement: PI 25-Rate of community follow up within first seven days of discharge from a psychiatric admission, 2016 QS</w:t>
              </w:r>
            </w:hyperlink>
          </w:p>
          <w:p>
            <w:pPr>
              <w:pStyle w:val="registration-status"/>
              <w:spacing w:before="0" w:after="0"/>
            </w:pPr>
            <w:hyperlink w:history="true" r:id="R6313d50752d44614">
              <w:r>
                <w:rPr>
                  <w:rStyle w:val="Hyperlink"/>
                  <w:color w:val="244061"/>
                </w:rPr>
                <w:t xml:space="preserve">Health</w:t>
              </w:r>
            </w:hyperlink>
            <w:r>
              <w:rPr>
                <w:rStyle w:val="row-content"/>
                <w:color w:val="244061"/>
              </w:rPr>
              <w:t xml:space="preserve">, Standard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06a3abab75d41b4">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244873f15da048a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30a0f613065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ca47e5c3c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a0f6130654ff7" /><Relationship Type="http://schemas.openxmlformats.org/officeDocument/2006/relationships/header" Target="/word/header1.xml" Id="Rc3bc993c747d4406" /><Relationship Type="http://schemas.openxmlformats.org/officeDocument/2006/relationships/settings" Target="/word/settings.xml" Id="R761c62142ebd47dc" /><Relationship Type="http://schemas.openxmlformats.org/officeDocument/2006/relationships/styles" Target="/word/styles.xml" Id="Refd104743fb14a06" /><Relationship Type="http://schemas.openxmlformats.org/officeDocument/2006/relationships/numbering" Target="/word/numbering.xml" Id="Rca53b3541d7e4173" /><Relationship Type="http://schemas.openxmlformats.org/officeDocument/2006/relationships/hyperlink" Target="https://meteor.aihw.gov.au/RegistrationAuthority/12" TargetMode="External" Id="Reb1de19f08424477" /><Relationship Type="http://schemas.openxmlformats.org/officeDocument/2006/relationships/hyperlink" Target="http://mhsa.aihw.gov.au/indicators/" TargetMode="External" Id="R45dc10c016e2409d" /><Relationship Type="http://schemas.openxmlformats.org/officeDocument/2006/relationships/hyperlink" Target="http://www.pc.gov.au/gsp/rogs" TargetMode="External" Id="Rbee52dcf89ff41b6" /><Relationship Type="http://schemas.openxmlformats.org/officeDocument/2006/relationships/hyperlink" Target="http://mhsa.aihw.gov.au/indicators/nkpi/" TargetMode="External" Id="Ra4fe635e97e54f02" /><Relationship Type="http://schemas.openxmlformats.org/officeDocument/2006/relationships/hyperlink" Target="https://meteor.aihw.gov.au/content/517630" TargetMode="External" Id="R9c16b5a55cca4476" /><Relationship Type="http://schemas.openxmlformats.org/officeDocument/2006/relationships/hyperlink" Target="http://mhsa.aihw.gov.au/indicators/" TargetMode="External" Id="Re30eda4f317245ee" /><Relationship Type="http://schemas.openxmlformats.org/officeDocument/2006/relationships/hyperlink" Target="https://meteor.aihw.gov.au/content/517723" TargetMode="External" Id="Rdc93134854574964" /><Relationship Type="http://schemas.openxmlformats.org/officeDocument/2006/relationships/hyperlink" Target="https://meteor.aihw.gov.au/RegistrationAuthority/12" TargetMode="External" Id="Re251aa62d4e04e80" /><Relationship Type="http://schemas.openxmlformats.org/officeDocument/2006/relationships/hyperlink" Target="https://meteor.aihw.gov.au/content/600112" TargetMode="External" Id="R48b65f7eb4a74ddf" /><Relationship Type="http://schemas.openxmlformats.org/officeDocument/2006/relationships/hyperlink" Target="https://meteor.aihw.gov.au/RegistrationAuthority/12" TargetMode="External" Id="R6313d50752d44614" /><Relationship Type="http://schemas.openxmlformats.org/officeDocument/2006/relationships/hyperlink" Target="https://meteor.aihw.gov.au/content/559016" TargetMode="External" Id="Rb06a3abab75d41b4" /><Relationship Type="http://schemas.openxmlformats.org/officeDocument/2006/relationships/hyperlink" Target="https://meteor.aihw.gov.au/RegistrationAuthority/12" TargetMode="External" Id="R244873f15da048a8" /></Relationships>
</file>

<file path=word/_rels/header1.xml.rels>&#65279;<?xml version="1.0" encoding="utf-8"?><Relationships xmlns="http://schemas.openxmlformats.org/package/2006/relationships"><Relationship Type="http://schemas.openxmlformats.org/officeDocument/2006/relationships/image" Target="/media/image.png" Id="R3c2ca47e5c3c4e32" /></Relationships>
</file>