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4235cabc256465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28-Proportion of residential aged care services that are three year re-accredited, 2015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28-Proportion of residential aged care services that are three year re-accredited,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34c0ef82e245b1">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are restricted to re-accreditations within the previous financial year.</w:t>
            </w:r>
          </w:p>
          <w:p>
            <w:pPr>
              <w:pStyle w:val="ListParagraph"/>
              <w:numPr>
                <w:ilvl w:val="0"/>
                <w:numId w:val="2"/>
              </w:numPr>
            </w:pPr>
            <w:r>
              <w:rPr>
                <w:rStyle w:val="row-content-rich-text"/>
              </w:rPr>
              <w:t xml:space="preserve">The data exclude those homes that are reviewed during a financial year for possible systemic failures.</w:t>
            </w:r>
          </w:p>
          <w:p>
            <w:pPr>
              <w:pStyle w:val="ListParagraph"/>
              <w:numPr>
                <w:ilvl w:val="0"/>
                <w:numId w:val="2"/>
              </w:numPr>
            </w:pPr>
            <w:r>
              <w:rPr>
                <w:rStyle w:val="row-content-rich-text"/>
              </w:rPr>
              <w:t xml:space="preserve">Remoteness data for 2011–12 are not directly comparable to remoteness data for 2012–13 and subsequent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w:t>
            </w:r>
          </w:p>
          <w:p>
            <w:pPr/>
            <w:r>
              <w:rPr>
                <w:rStyle w:val="row-content-rich-text"/>
              </w:rPr>
              <w:t xml:space="preserve">The tables for this indicator were prepared by the Australian Aged Care Quality Agency and quality-assessed by the Australian Institute of Health and Welfare (AIHW). The data quality statement was developed by the Department of Social Services (DSS) and includes comments from the AIHW. The AIHW did not have the relevant datasets required to independently verify the data tables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restricted to re-accreditations within the previous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collected by the Australian Aged Care Quality Agency and are readily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re-accreditations within the previous financial year and exclude those homes that are reviewed during a financial year for possible systemic failures.</w:t>
            </w:r>
          </w:p>
          <w:p>
            <w:pPr>
              <w:spacing w:after="160"/>
            </w:pPr>
            <w:r>
              <w:rPr>
                <w:rStyle w:val="row-content-rich-text"/>
              </w:rPr>
              <w:t xml:space="preserve">Terms used in the dataset may be ambiguous because a user may not understand that the data has limitations as a proxy measure of the industry’s performance.</w:t>
            </w:r>
          </w:p>
          <w:p>
            <w:pPr/>
            <w:r>
              <w:rPr>
                <w:rStyle w:val="row-content-rich-text"/>
              </w:rPr>
              <w:t xml:space="preserve">The </w:t>
            </w:r>
            <w:r>
              <w:rPr>
                <w:rStyle w:val="row-content-rich-text"/>
                <w:i/>
              </w:rPr>
              <w:t xml:space="preserve">Report on Government Services</w:t>
            </w:r>
            <w:r>
              <w:rPr>
                <w:rStyle w:val="row-content-rich-text"/>
              </w:rPr>
              <w:t xml:space="preserve"> includes footnotes and explanations on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restricted to services seeking re-accreditation. Each year there are more assessment contacts (including unannounced visits) than there are audits. Restricting this measure to ‘re-accreditation’ data excludes those homes which were subject to a review audit – that is, those homes which the regulator has sufficient concerns to decide that the provider may not be meeting the Accreditation Standards or its responsibilities under the </w:t>
            </w:r>
            <w:r>
              <w:rPr>
                <w:rStyle w:val="row-content-rich-text"/>
                <w:i/>
              </w:rPr>
              <w:t xml:space="preserve">Aged Care Act 1997</w:t>
            </w:r>
            <w:r>
              <w:rPr>
                <w:rStyle w:val="row-content-rich-text"/>
              </w:rPr>
              <w:t xml:space="preserve">.</w:t>
            </w:r>
          </w:p>
          <w:p>
            <w:pPr>
              <w:spacing w:after="160"/>
            </w:pPr>
            <w:r>
              <w:rPr>
                <w:rStyle w:val="row-content-rich-text"/>
              </w:rPr>
              <w:t xml:space="preserve">Assessment contacts are necessarily limited in scope and hence how a home performs at a full audit is considered a more robust indicator. This indicator is a ‘point in-time’ assessment of performance and as accreditation generally follows a three-yearly cycle. The audit data can sometimes be up to three years old.</w:t>
            </w:r>
          </w:p>
          <w:p>
            <w:pPr>
              <w:spacing w:after="160"/>
            </w:pPr>
            <w:r>
              <w:rPr>
                <w:rStyle w:val="row-content-rich-text"/>
              </w:rPr>
              <w:t xml:space="preserve">A limitation in the data is that they are only for re-accreditation decisions made during the financial year.</w:t>
            </w:r>
          </w:p>
          <w:p>
            <w:pPr/>
            <w:r>
              <w:rPr>
                <w:rStyle w:val="row-content-rich-text"/>
              </w:rPr>
              <w:t xml:space="preserve">In 2013–14 there were 2,693 accredited residential aged care homes but only 496 re-accreditation decisions were made. In the previous year 1,139 decisions were made.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an administrative data collection designed for meeting the Accreditation Standards and a home’s responsibilities under the </w:t>
            </w:r>
            <w:r>
              <w:rPr>
                <w:rStyle w:val="row-content-rich-text"/>
                <w:i/>
              </w:rPr>
              <w:t xml:space="preserve">Aged Care Act 1997</w:t>
            </w:r>
            <w:r>
              <w:rPr>
                <w:rStyle w:val="row-content-rich-text"/>
              </w:rPr>
              <w:t xml:space="preserve">. The data are considered to be accurate.</w:t>
            </w:r>
          </w:p>
          <w:p>
            <w:pPr/>
            <w:r>
              <w:rPr>
                <w:rStyle w:val="row-content-rich-text"/>
              </w:rPr>
              <w:t xml:space="preserve">The intent of the indicator is to provide a proxy for overall industry performance. The indicator shows how many homes are on the maximum period of accreditation (due to being consistently good performers). It is not relevant how many homes were assessed during the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are used to report in the </w:t>
            </w:r>
            <w:r>
              <w:rPr>
                <w:rStyle w:val="row-content-rich-text"/>
                <w:i/>
              </w:rPr>
              <w:t xml:space="preserve">Report on Government Services</w:t>
            </w:r>
            <w:r>
              <w:rPr>
                <w:rStyle w:val="row-content-rich-text"/>
              </w:rPr>
              <w:t xml:space="preserve"> and are coherent.</w:t>
            </w:r>
          </w:p>
          <w:p>
            <w:pPr>
              <w:spacing w:after="160"/>
            </w:pPr>
            <w:r>
              <w:rPr>
                <w:rStyle w:val="row-content-rich-text"/>
              </w:rPr>
              <w:t xml:space="preserve">The 'accreditation period' only shows the decision in effect at 30 June of that year. The figures will not necessarily be consistent with the accreditation decisions made in the previous year because those decisions may not yet have taken effect, or may have been superseded. The data vary across years according to how many homes were due for assessment during the year. The comparison across reference periods of the number of homes assessed is not meaningful. The comparison across reference periods of the proportions of re-accredited homes is meaningful and comparable.</w:t>
            </w:r>
          </w:p>
          <w:p>
            <w:pPr>
              <w:spacing w:after="160"/>
            </w:pPr>
            <w:r>
              <w:rPr>
                <w:rStyle w:val="row-content-rich-text"/>
              </w:rPr>
              <w:t xml:space="preserve">The measure excludes those homes where there are reasonable grounds to believe there may be significant and systemic failure. The possible decisions available following a review audit of this kind are:</w:t>
            </w:r>
          </w:p>
          <w:p>
            <w:pPr>
              <w:pStyle w:val="ListParagraph"/>
              <w:numPr>
                <w:ilvl w:val="0"/>
                <w:numId w:val="3"/>
              </w:numPr>
            </w:pPr>
            <w:r>
              <w:rPr>
                <w:rStyle w:val="row-content-rich-text"/>
              </w:rPr>
              <w:t xml:space="preserve">to revoke the service’s accreditation,</w:t>
            </w:r>
          </w:p>
          <w:p>
            <w:pPr>
              <w:pStyle w:val="ListParagraph"/>
              <w:numPr>
                <w:ilvl w:val="0"/>
                <w:numId w:val="3"/>
              </w:numPr>
            </w:pPr>
            <w:r>
              <w:rPr>
                <w:rStyle w:val="row-content-rich-text"/>
              </w:rPr>
              <w:t xml:space="preserve">not revoke and not vary the period of accreditation, or</w:t>
            </w:r>
          </w:p>
          <w:p>
            <w:pPr>
              <w:pStyle w:val="ListParagraph"/>
              <w:numPr>
                <w:ilvl w:val="0"/>
                <w:numId w:val="3"/>
              </w:numPr>
            </w:pPr>
            <w:r>
              <w:rPr>
                <w:rStyle w:val="row-content-rich-text"/>
              </w:rPr>
              <w:t xml:space="preserve">not revoke and to vary the period of accreditation. </w:t>
            </w:r>
          </w:p>
          <w:p>
            <w:pPr>
              <w:spacing w:after="160"/>
            </w:pPr>
            <w:r>
              <w:rPr>
                <w:rStyle w:val="row-content-rich-text"/>
              </w:rPr>
              <w:t xml:space="preserve">‘Re-accreditation’ is not a decision available following a review audit under the Accreditation Grant Principles 2011.</w:t>
            </w:r>
          </w:p>
          <w:p>
            <w:pPr/>
            <w:r>
              <w:rPr>
                <w:rStyle w:val="row-content-rich-text"/>
              </w:rPr>
              <w:t xml:space="preserve">In 2011, the ABS updated the standard geography used in Australia for most data collections from the Australian Standard Geographical Classification (ASGC) to the Australian Statistical Geography Standard (ASGS).  Also updated at this time were remoteness areas, based on the 2011 ABS Census of Population and Housing.  The new remoteness areas will be referred to as RA 2011, and the previous remoteness areas as RA 2006.  Data for 2011–12 (reported in the previous cycle) were reported for RA 2006.  Data for 2012–13 and subsequent cycles are reported for RA 2011.  The AIHW considers the change from RA 2006 to RA 2011 to be a series break when applied to data supplied for this indicator, therefore remoteness data for 2011–12 are not directly comparable to remoteness data for 2012–13 and subsequent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a579a11fa54301">
              <w:r>
                <w:rPr>
                  <w:rStyle w:val="Hyperlink"/>
                </w:rPr>
                <w:t xml:space="preserve">National Healthcare Agreement: PI 28-Proportion of residential aged care services that are three year re-accredited, 2014 QS</w:t>
              </w:r>
            </w:hyperlink>
          </w:p>
          <w:p>
            <w:pPr>
              <w:spacing w:before="0" w:after="0"/>
            </w:pPr>
            <w:r>
              <w:rPr>
                <w:rStyle w:val="row-content"/>
                <w:color w:val="244061"/>
              </w:rPr>
              <w:t xml:space="preserve">       </w:t>
            </w:r>
            <w:hyperlink w:history="true" r:id="Refba0a3d6aeb4903">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c6415ea17fec47db">
              <w:r>
                <w:rPr>
                  <w:rStyle w:val="Hyperlink"/>
                </w:rPr>
                <w:t xml:space="preserve">National Healthcare Agreement: PI 28-Proportion of residential aged care services that are three year re-accredited, 2016 QS</w:t>
              </w:r>
            </w:hyperlink>
          </w:p>
          <w:p>
            <w:pPr>
              <w:spacing w:before="0" w:after="0"/>
            </w:pPr>
            <w:r>
              <w:rPr>
                <w:rStyle w:val="row-content"/>
                <w:color w:val="244061"/>
              </w:rPr>
              <w:t xml:space="preserve">       </w:t>
            </w:r>
            <w:hyperlink w:history="true" r:id="R01e5231719414512">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2ee31e0486b4257">
              <w:r>
                <w:rPr>
                  <w:rStyle w:val="Hyperlink"/>
                </w:rPr>
                <w:t xml:space="preserve">National Healthcare Agreement: PI 28-Proportion of residential aged care services that are three year re-accredited, 2015</w:t>
              </w:r>
            </w:hyperlink>
          </w:p>
          <w:p>
            <w:pPr>
              <w:spacing w:before="0" w:after="0"/>
            </w:pPr>
            <w:r>
              <w:rPr>
                <w:rStyle w:val="row-content"/>
                <w:color w:val="244061"/>
              </w:rPr>
              <w:t xml:space="preserve">       </w:t>
            </w:r>
            <w:hyperlink w:history="true" r:id="Rc69534ad10aa4a72">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5770b0b7ce0040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559090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8739aa7e79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70b0b7ce004047" /><Relationship Type="http://schemas.openxmlformats.org/officeDocument/2006/relationships/header" Target="/word/header1.xml" Id="Rb0e0a64bc1594db9" /><Relationship Type="http://schemas.openxmlformats.org/officeDocument/2006/relationships/settings" Target="/word/settings.xml" Id="Raa4782e773e842ab" /><Relationship Type="http://schemas.openxmlformats.org/officeDocument/2006/relationships/styles" Target="/word/styles.xml" Id="Rbd4f7d038adb48c9" /><Relationship Type="http://schemas.openxmlformats.org/officeDocument/2006/relationships/hyperlink" Target="https://meteor.aihw.gov.au/RegistrationAuthority/12" TargetMode="External" Id="Rb834c0ef82e245b1" /><Relationship Type="http://schemas.openxmlformats.org/officeDocument/2006/relationships/numbering" Target="/word/numbering.xml" Id="R931a14db92154b9d" /><Relationship Type="http://schemas.openxmlformats.org/officeDocument/2006/relationships/hyperlink" Target="https://meteor.aihw.gov.au/content/517715" TargetMode="External" Id="Rbda579a11fa54301" /><Relationship Type="http://schemas.openxmlformats.org/officeDocument/2006/relationships/hyperlink" Target="https://meteor.aihw.gov.au/RegistrationAuthority/12" TargetMode="External" Id="Refba0a3d6aeb4903" /><Relationship Type="http://schemas.openxmlformats.org/officeDocument/2006/relationships/hyperlink" Target="https://meteor.aihw.gov.au/content/600118" TargetMode="External" Id="Rc6415ea17fec47db" /><Relationship Type="http://schemas.openxmlformats.org/officeDocument/2006/relationships/hyperlink" Target="https://meteor.aihw.gov.au/RegistrationAuthority/12" TargetMode="External" Id="R01e5231719414512" /><Relationship Type="http://schemas.openxmlformats.org/officeDocument/2006/relationships/hyperlink" Target="https://meteor.aihw.gov.au/content/559010" TargetMode="External" Id="Rc2ee31e0486b4257" /><Relationship Type="http://schemas.openxmlformats.org/officeDocument/2006/relationships/hyperlink" Target="https://meteor.aihw.gov.au/RegistrationAuthority/12" TargetMode="External" Id="Rc69534ad10aa4a72" /></Relationships>
</file>

<file path=word/_rels/header1.xml.rels>&#65279;<?xml version="1.0" encoding="utf-8"?><Relationships xmlns="http://schemas.openxmlformats.org/package/2006/relationships"><Relationship Type="http://schemas.openxmlformats.org/officeDocument/2006/relationships/image" Target="/media/image.png" Id="Rd78739aa7e7945d8" /></Relationships>
</file>