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3e479331bf40f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22-Healthcare-associated infections,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869c43e9f14d3b">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31dfc6ff384dc8">
              <w:r>
                <w:rPr>
                  <w:rStyle w:val="Hyperlink"/>
                </w:rPr>
                <w:t xml:space="preserve">National Healthcare Agreement (2015)</w:t>
              </w:r>
            </w:hyperlink>
          </w:p>
          <w:p>
            <w:pPr>
              <w:pStyle w:val="registration-status"/>
              <w:spacing w:before="0" w:after="0"/>
            </w:pPr>
            <w:hyperlink w:history="true" r:id="R3b3a7963441c4c0d">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e0c67685e2345d6">
              <w:r>
                <w:rPr>
                  <w:rStyle w:val="Hyperlink"/>
                </w:rPr>
                <w:t xml:space="preserve">Hospital and Related Care</w:t>
              </w:r>
            </w:hyperlink>
          </w:p>
          <w:p>
            <w:pPr>
              <w:pStyle w:val="registration-status"/>
              <w:spacing w:before="0" w:after="0"/>
            </w:pPr>
            <w:hyperlink w:history="true" r:id="Rf6f8e096153e4ac7">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52893fe13c0e4f14">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af0d8a14a724ec8">
              <w:r>
                <w:rPr>
                  <w:rStyle w:val="Hyperlink"/>
                </w:rPr>
                <w:t xml:space="preserve">National Healthcare Agreement: PI 22-Healthcare associated infections, 2015 QS</w:t>
              </w:r>
            </w:hyperlink>
          </w:p>
          <w:p>
            <w:pPr>
              <w:pStyle w:val="registration-status"/>
              <w:spacing w:before="0" w:after="0"/>
            </w:pPr>
            <w:hyperlink w:history="true" r:id="R4c37e29ad5564a0b">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  </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Denominator: includes unqualified newborns, excludes posthumous organ procurement and hospital boarders.</w:t>
            </w:r>
          </w:p>
          <w:p>
            <w:pPr>
              <w:spacing w:after="160"/>
            </w:pPr>
            <w:r>
              <w:rPr>
                <w:rStyle w:val="row-content-rich-text"/>
              </w:rPr>
              <w:t xml:space="preserve">See </w:t>
            </w:r>
            <w:hyperlink w:history="true" r:id="R0f4aab3743ae4788">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 </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w:t>
            </w:r>
            <w:r>
              <w:rPr>
                <w:rStyle w:val="row-content"/>
                <w:i/>
              </w:rPr>
              <w:t xml:space="preserve">Staphyloccocus aureus </w:t>
            </w:r>
            <w:r>
              <w:rPr>
                <w:rStyle w:val="row-content"/>
              </w:rPr>
              <w:t xml:space="preserve">bacteraemia episode indicator</w:t>
            </w:r>
          </w:p>
          <w:p>
            <w:r>
              <w:rPr>
                <w:rStyle w:val="row-content"/>
                <w:b/>
              </w:rPr>
              <w:t xml:space="preserve">Data Source</w:t>
            </w:r>
          </w:p>
          <w:p>
            <w:hyperlink w:history="true" r:id="R8405418ef7e94c9c">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d4f6d80cc3ad49ee">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public acute care hospitals under surveillance (i.e. only for hospitals included in the surveillance arrangements).</w:t>
            </w:r>
          </w:p>
          <w:p>
            <w:pPr/>
            <w:r>
              <w:rPr>
                <w:rStyle w:val="row-content-rich-text"/>
              </w:rPr>
              <w:t xml:space="preserve">Include unqualified newborns, exclude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care—admission date</w:t>
            </w:r>
          </w:p>
          <w:p>
            <w:r>
              <w:rPr>
                <w:rStyle w:val="row-content"/>
                <w:b/>
              </w:rPr>
              <w:t xml:space="preserve">Data Source</w:t>
            </w:r>
          </w:p>
          <w:p>
            <w:hyperlink w:history="true" r:id="R8578e8502c3a463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admitted patient care—separation date</w:t>
            </w:r>
          </w:p>
          <w:p>
            <w:r>
              <w:rPr>
                <w:rStyle w:val="row-content"/>
                <w:b/>
              </w:rPr>
              <w:t xml:space="preserve">Data Source</w:t>
            </w:r>
          </w:p>
          <w:p>
            <w:hyperlink w:history="true" r:id="R959d85d0384a41ee">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w:t>
            </w:r>
            <w:r>
              <w:rPr>
                <w:rStyle w:val="row-content"/>
                <w:i/>
              </w:rPr>
              <w:t xml:space="preserve">Staphyloccocus aureus </w:t>
            </w:r>
            <w:r>
              <w:rPr>
                <w:rStyle w:val="row-content"/>
              </w:rPr>
              <w:t xml:space="preserve">bacteraemia surveillance indicator</w:t>
            </w:r>
          </w:p>
          <w:p>
            <w:r>
              <w:rPr>
                <w:rStyle w:val="row-content"/>
                <w:b/>
              </w:rPr>
              <w:t xml:space="preserve">Data Source</w:t>
            </w:r>
          </w:p>
          <w:p>
            <w:hyperlink w:history="true" r:id="R9cb48331e1ce419b">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3e6b70d617e344fd">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(updated for resupplied data), 2013–14—State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a8757c1a064340e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ce3562be4cc04c85">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3eafdce2864ade">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cf761bab4e4551">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04b48bb718a446fc">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f9f3a5dbf04d4b0e">
              <w:r>
                <w:rPr>
                  <w:rStyle w:val="Hyperlink"/>
                </w:rPr>
                <w:t xml:space="preserve">National Healthcare Agreement: PB g-Better health: the rate of </w:t>
              </w:r>
              <w:r>
                <w:rPr>
                  <w:rStyle w:val="row-content-rich-text"/>
                  <w:i/>
                </w:rPr>
                <w:t xml:space="preserve">Staphylococcuss aureus</w:t>
              </w:r>
              <w:r>
                <w:rPr>
                  <w:rStyle w:val="row-content-rich-text"/>
                </w:rPr>
                <w:t xml:space="preserve"> (including MRSA) bacteraemia is no more than 2.0 per cent per 10,000 occupied bed days for acute care public hospitals by 2011-12 in each state and territory,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94f848c2c84ad1">
              <w:r>
                <w:rPr>
                  <w:rStyle w:val="Hyperlink"/>
                </w:rPr>
                <w:t xml:space="preserve">National Healthcare Agreement: PI 22-Healthcare associated infections, 2014</w:t>
              </w:r>
            </w:hyperlink>
          </w:p>
          <w:p>
            <w:pPr>
              <w:pStyle w:val="registration-status"/>
              <w:spacing w:before="0" w:after="0"/>
            </w:pPr>
            <w:hyperlink w:history="true" r:id="R52eb80740aab48f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00703f672eb84010">
              <w:r>
                <w:rPr>
                  <w:rStyle w:val="Hyperlink"/>
                </w:rPr>
                <w:t xml:space="preserve">National Healthcare Agreement: PI 22–Healthcare associated infections: Staphylococcus aureus bacteraemia, 2016</w:t>
              </w:r>
            </w:hyperlink>
          </w:p>
          <w:p>
            <w:pPr>
              <w:pStyle w:val="registration-status"/>
              <w:spacing w:before="0" w:after="0"/>
            </w:pPr>
            <w:hyperlink w:history="true" r:id="Rf2b1b290f0f34220">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8bfeb9bc4d8d4fcd">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2015</w:t>
              </w:r>
            </w:hyperlink>
          </w:p>
          <w:p>
            <w:pPr>
              <w:pStyle w:val="registration-status"/>
              <w:spacing w:before="0" w:after="0"/>
            </w:pPr>
            <w:hyperlink w:history="true" r:id="Rcf279768572942f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b0657f20189468a">
              <w:r>
                <w:rPr>
                  <w:rStyle w:val="Hyperlink"/>
                </w:rPr>
                <w:t xml:space="preserve">National Healthcare Agreement: PI 23-Unplanned hospital readmission rates, 2015</w:t>
              </w:r>
            </w:hyperlink>
          </w:p>
          <w:p>
            <w:pPr>
              <w:pStyle w:val="registration-status"/>
              <w:spacing w:before="0" w:after="0"/>
            </w:pPr>
            <w:hyperlink w:history="true" r:id="R7f0a804708a246f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8af845230bb3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d80599df0b45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f845230bb34d42" /><Relationship Type="http://schemas.openxmlformats.org/officeDocument/2006/relationships/header" Target="/word/header1.xml" Id="Raea59592caca41ff" /><Relationship Type="http://schemas.openxmlformats.org/officeDocument/2006/relationships/settings" Target="/word/settings.xml" Id="R514d4104db3e4b5b" /><Relationship Type="http://schemas.openxmlformats.org/officeDocument/2006/relationships/styles" Target="/word/styles.xml" Id="Rb06450fd94db463c" /><Relationship Type="http://schemas.openxmlformats.org/officeDocument/2006/relationships/numbering" Target="/word/numbering.xml" Id="R4e5b78a7f07d48ab" /><Relationship Type="http://schemas.openxmlformats.org/officeDocument/2006/relationships/hyperlink" Target="https://meteor.aihw.gov.au/RegistrationAuthority/12" TargetMode="External" Id="R8e869c43e9f14d3b" /><Relationship Type="http://schemas.openxmlformats.org/officeDocument/2006/relationships/hyperlink" Target="https://meteor.aihw.gov.au/content/558998" TargetMode="External" Id="R8d31dfc6ff384dc8" /><Relationship Type="http://schemas.openxmlformats.org/officeDocument/2006/relationships/hyperlink" Target="https://meteor.aihw.gov.au/RegistrationAuthority/12" TargetMode="External" Id="R3b3a7963441c4c0d" /><Relationship Type="http://schemas.openxmlformats.org/officeDocument/2006/relationships/hyperlink" Target="https://meteor.aihw.gov.au/content/393487" TargetMode="External" Id="R6e0c67685e2345d6" /><Relationship Type="http://schemas.openxmlformats.org/officeDocument/2006/relationships/hyperlink" Target="https://meteor.aihw.gov.au/RegistrationAuthority/12" TargetMode="External" Id="Rf6f8e096153e4ac7" /><Relationship Type="http://schemas.openxmlformats.org/officeDocument/2006/relationships/hyperlink" Target="https://meteor.aihw.gov.au/RegistrationAuthority/8" TargetMode="External" Id="R52893fe13c0e4f14" /><Relationship Type="http://schemas.openxmlformats.org/officeDocument/2006/relationships/hyperlink" Target="https://meteor.aihw.gov.au/content/559101" TargetMode="External" Id="R9af0d8a14a724ec8" /><Relationship Type="http://schemas.openxmlformats.org/officeDocument/2006/relationships/hyperlink" Target="https://meteor.aihw.gov.au/RegistrationAuthority/12" TargetMode="External" Id="R4c37e29ad5564a0b" /><Relationship Type="http://schemas.openxmlformats.org/officeDocument/2006/relationships/hyperlink" Target="https://meteor.aihw.gov.au/content/270045" TargetMode="External" Id="R0f4aab3743ae4788" /><Relationship Type="http://schemas.openxmlformats.org/officeDocument/2006/relationships/hyperlink" Target="https://meteor.aihw.gov.au/content/402699" TargetMode="External" Id="R8405418ef7e94c9c" /><Relationship Type="http://schemas.openxmlformats.org/officeDocument/2006/relationships/hyperlink" Target="https://meteor.aihw.gov.au/content/402699" TargetMode="External" Id="Rd4f6d80cc3ad49ee" /><Relationship Type="http://schemas.openxmlformats.org/officeDocument/2006/relationships/hyperlink" Target="https://meteor.aihw.gov.au/content/426458" TargetMode="External" Id="R8578e8502c3a4631" /><Relationship Type="http://schemas.openxmlformats.org/officeDocument/2006/relationships/hyperlink" Target="https://meteor.aihw.gov.au/content/426458" TargetMode="External" Id="R959d85d0384a41ee" /><Relationship Type="http://schemas.openxmlformats.org/officeDocument/2006/relationships/hyperlink" Target="https://meteor.aihw.gov.au/content/426458" TargetMode="External" Id="R9cb48331e1ce419b" /><Relationship Type="http://schemas.openxmlformats.org/officeDocument/2006/relationships/hyperlink" Target="https://meteor.aihw.gov.au/content/426458" TargetMode="External" Id="R3e6b70d617e344fd" /><Relationship Type="http://schemas.openxmlformats.org/officeDocument/2006/relationships/hyperlink" Target="https://meteor.aihw.gov.au/content/402699" TargetMode="External" Id="Ra8757c1a064340ed" /><Relationship Type="http://schemas.openxmlformats.org/officeDocument/2006/relationships/hyperlink" Target="https://meteor.aihw.gov.au/content/402699" TargetMode="External" Id="Rce3562be4cc04c85" /><Relationship Type="http://schemas.openxmlformats.org/officeDocument/2006/relationships/hyperlink" Target="https://meteor.aihw.gov.au/content/392584" TargetMode="External" Id="R783eafdce2864ade" /><Relationship Type="http://schemas.openxmlformats.org/officeDocument/2006/relationships/hyperlink" Target="https://meteor.aihw.gov.au/content/426458" TargetMode="External" Id="Re1cf761bab4e4551" /><Relationship Type="http://schemas.openxmlformats.org/officeDocument/2006/relationships/hyperlink" Target="https://meteor.aihw.gov.au/content/402699" TargetMode="External" Id="R04b48bb718a446fc" /><Relationship Type="http://schemas.openxmlformats.org/officeDocument/2006/relationships/hyperlink" Target="https://meteor.aihw.gov.au/content/559068" TargetMode="External" Id="Rf9f3a5dbf04d4b0e" /><Relationship Type="http://schemas.openxmlformats.org/officeDocument/2006/relationships/hyperlink" Target="https://meteor.aihw.gov.au/content/517636" TargetMode="External" Id="R8394f848c2c84ad1" /><Relationship Type="http://schemas.openxmlformats.org/officeDocument/2006/relationships/hyperlink" Target="https://meteor.aihw.gov.au/RegistrationAuthority/12" TargetMode="External" Id="R52eb80740aab48fc" /><Relationship Type="http://schemas.openxmlformats.org/officeDocument/2006/relationships/hyperlink" Target="https://meteor.aihw.gov.au/content/598734" TargetMode="External" Id="R00703f672eb84010" /><Relationship Type="http://schemas.openxmlformats.org/officeDocument/2006/relationships/hyperlink" Target="https://meteor.aihw.gov.au/RegistrationAuthority/12" TargetMode="External" Id="Rf2b1b290f0f34220" /><Relationship Type="http://schemas.openxmlformats.org/officeDocument/2006/relationships/hyperlink" Target="https://meteor.aihw.gov.au/content/559068" TargetMode="External" Id="R8bfeb9bc4d8d4fcd" /><Relationship Type="http://schemas.openxmlformats.org/officeDocument/2006/relationships/hyperlink" Target="https://meteor.aihw.gov.au/RegistrationAuthority/12" TargetMode="External" Id="Rcf279768572942f2" /><Relationship Type="http://schemas.openxmlformats.org/officeDocument/2006/relationships/hyperlink" Target="https://meteor.aihw.gov.au/content/559020" TargetMode="External" Id="Reb0657f20189468a" /><Relationship Type="http://schemas.openxmlformats.org/officeDocument/2006/relationships/hyperlink" Target="https://meteor.aihw.gov.au/RegistrationAuthority/12" TargetMode="External" Id="R7f0a804708a246ff" /></Relationships>
</file>

<file path=word/_rels/header1.xml.rels>&#65279;<?xml version="1.0" encoding="utf-8"?><Relationships xmlns="http://schemas.openxmlformats.org/package/2006/relationships"><Relationship Type="http://schemas.openxmlformats.org/officeDocument/2006/relationships/image" Target="/media/image.png" Id="R4dd80599df0b4550" /></Relationships>
</file>