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0980d95fc42447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30-Elapsed time for aged care services,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30-Elapsed time for aged care services,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30-Elapsed time for aged care services,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9d0739407e41f2">
              <w:r>
                <w:rPr>
                  <w:rStyle w:val="Hyperlink"/>
                  <w:color w:val="244061"/>
                </w:rPr>
                <w:t xml:space="preserve">Health</w:t>
              </w:r>
            </w:hyperlink>
            <w:r>
              <w:rPr>
                <w:rStyle w:val="row-content"/>
                <w:color w:val="244061"/>
              </w:rPr>
              <w:t xml:space="preserve">, Superseded 08/07/2016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elapsed time between an Aged Care Assessment Team (ACAT) approval and entry into a residential aged care service or commencement of a Home Care Package.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e9b2e25081c4e60">
              <w:r>
                <w:rPr>
                  <w:rStyle w:val="Hyperlink"/>
                </w:rPr>
                <w:t xml:space="preserve">National Healthcare Agreement (2015)</w:t>
              </w:r>
            </w:hyperlink>
          </w:p>
          <w:p>
            <w:pPr>
              <w:spacing w:before="0" w:after="0"/>
            </w:pPr>
            <w:r>
              <w:rPr>
                <w:rStyle w:val="row-content"/>
                <w:color w:val="244061"/>
              </w:rPr>
              <w:t xml:space="preserve">       </w:t>
            </w:r>
            <w:hyperlink w:history="true" r:id="R006d96ae8eaf47ca">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8d6b6b5dbcc44bf">
              <w:r>
                <w:rPr>
                  <w:rStyle w:val="Hyperlink"/>
                </w:rPr>
                <w:t xml:space="preserve">Aged Care</w:t>
              </w:r>
            </w:hyperlink>
          </w:p>
          <w:p>
            <w:pPr>
              <w:spacing w:before="0" w:after="0"/>
            </w:pPr>
            <w:r>
              <w:rPr>
                <w:rStyle w:val="row-content"/>
                <w:color w:val="244061"/>
              </w:rPr>
              <w:t xml:space="preserve">       </w:t>
            </w:r>
            <w:hyperlink w:history="true" r:id="R6e349b59161b490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ef058abca1848cf">
              <w:r>
                <w:rPr>
                  <w:rStyle w:val="Hyperlink"/>
                </w:rPr>
                <w:t xml:space="preserve">National Healthcare Agreement: PI 30-Elapsed time for aged care services, 2015 QS</w:t>
              </w:r>
            </w:hyperlink>
          </w:p>
          <w:p>
            <w:pPr>
              <w:spacing w:before="0" w:after="0"/>
            </w:pPr>
            <w:r>
              <w:rPr>
                <w:rStyle w:val="row-content"/>
                <w:color w:val="244061"/>
              </w:rPr>
              <w:t xml:space="preserve">       </w:t>
            </w:r>
            <w:hyperlink w:history="true" r:id="R73e5011cd1aa4700">
              <w:r>
                <w:rPr>
                  <w:rStyle w:val="Hyperlink"/>
                  <w:color w:val="244061"/>
                </w:rPr>
                <w:t xml:space="preserve">Health</w:t>
              </w:r>
            </w:hyperlink>
            <w:r>
              <w:rPr>
                <w:rStyle w:val="row-content"/>
                <w:color w:val="244061"/>
              </w:rPr>
              <w:t xml:space="preserve">, Superseded 08/07/2016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ACAT approval refers to the approval date of the most recent ACAT assessment prior to admission into residential care or commencement of a Home Care Package.</w:t>
            </w:r>
          </w:p>
          <w:p>
            <w:pPr>
              <w:spacing w:after="160"/>
            </w:pPr>
            <w:r>
              <w:rPr>
                <w:rStyle w:val="row-content-rich-text"/>
              </w:rPr>
              <w:t xml:space="preserve">Service type: Residential care - high care; Residential care - low care; Home Care Package - levels 1-2; Home Care Package - levels 3-4.</w:t>
            </w:r>
          </w:p>
          <w:p>
            <w:pPr>
              <w:spacing w:after="160"/>
            </w:pPr>
            <w:r>
              <w:rPr>
                <w:rStyle w:val="row-content-rich-text"/>
              </w:rPr>
              <w:t xml:space="preserve">Elapsed time period: within two days or less, seven days or less, less than one month, less than three months, less than nine months.</w:t>
            </w:r>
          </w:p>
          <w:p>
            <w:pPr>
              <w:spacing w:after="160"/>
            </w:pPr>
            <w:r>
              <w:rPr>
                <w:rStyle w:val="row-content-rich-text"/>
              </w:rPr>
              <w:t xml:space="preserve">Analysis of Indigenous status is by self-reported indication on the associated last ACAT assessment record made before entry into aged care.</w:t>
            </w:r>
          </w:p>
          <w:p>
            <w:pPr>
              <w:spacing w:after="160"/>
            </w:pPr>
            <w:r>
              <w:rPr>
                <w:rStyle w:val="row-content-rich-text"/>
              </w:rPr>
              <w:t xml:space="preserve">Disaggregation by state and territory is based on the location of the aged care service.</w:t>
            </w:r>
          </w:p>
          <w:p>
            <w:pPr>
              <w:spacing w:after="160"/>
            </w:pPr>
            <w:r>
              <w:rPr>
                <w:rStyle w:val="row-content-rich-text"/>
              </w:rPr>
              <w:t xml:space="preserve">Disaggregation by remoteness and Socio-Economic Indexes for Areas (SEIFA) is based on the recipient's postcode at time of assessment.</w:t>
            </w:r>
          </w:p>
          <w:p>
            <w:pPr>
              <w:spacing w:after="160"/>
            </w:pPr>
            <w:r>
              <w:rPr>
                <w:rStyle w:val="row-content-rich-text"/>
              </w:rPr>
              <w:t xml:space="preserve">Presented as:</w:t>
            </w:r>
          </w:p>
          <w:p>
            <w:pPr>
              <w:pStyle w:val="ListParagraph"/>
              <w:numPr>
                <w:ilvl w:val="0"/>
                <w:numId w:val="2"/>
              </w:numPr>
            </w:pPr>
            <w:r>
              <w:rPr>
                <w:rStyle w:val="row-content-rich-text"/>
              </w:rPr>
              <w:t xml:space="preserve">percentage of people admitted by length of entry period and 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calculated separately for each service type and elapsed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new aged care recipients who commence a service within elapsed time periods during the financial year.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New 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b/>
                <w:color w:val="000000"/>
              </w:rPr>
              <w:t xml:space="preserve">Data Element / Data Set</w:t>
            </w:r>
          </w:p>
          <w:p>
            <w:r>
              <w:rPr>
                <w:rStyle w:val="row-content"/>
                <w:b/>
              </w:rPr>
              <w:t xml:space="preserve">Data Element</w:t>
            </w:r>
          </w:p>
          <w:p>
            <w:r>
              <w:rPr>
                <w:rStyle w:val="row-content"/>
              </w:rPr>
              <w:t xml:space="preserve">New aged care recipient—service commencement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new aged care recipients during the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New aged care recipient—ACAT assessment date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2013–14—State and territory, by service type, by:</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SEIFA Index of Relative Socio-Economic Disadvantage (IRSD) quintiles</w:t>
            </w:r>
          </w:p>
          <w:p>
            <w:pPr>
              <w:spacing w:after="160"/>
            </w:pPr>
            <w:r>
              <w:rPr>
                <w:rStyle w:val="row-content-rich-text"/>
              </w:rPr>
              <w:t xml:space="preserve">2013–14—Nationally by service type, by 2011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New aged care recipient—area of usual residence</w:t>
            </w:r>
          </w:p>
          <w:p>
            <w:r>
              <w:rPr>
                <w:rStyle w:val="row-content"/>
                <w:b/>
              </w:rPr>
              <w:t xml:space="preserve">Guide for use</w:t>
            </w:r>
          </w:p>
          <w:p>
            <w:r>
              <w:rPr>
                <w:rStyle w:val="row-content"/>
              </w:rPr>
              <w:t xml:space="preserve"> </w:t>
            </w:r>
          </w:p>
          <w:p>
            <w:r>
              <w:rPr>
                <w:rStyle w:val="row-content"/>
              </w:rPr>
              <w:t xml:space="preserve">Data source type: Administrative by-product data, as provided by the Department of Social Services</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New aged care recipient—Indigenous status</w:t>
            </w:r>
          </w:p>
          <w:p>
            <w:r>
              <w:rPr>
                <w:rStyle w:val="row-content"/>
                <w:b/>
              </w:rPr>
              <w:t xml:space="preserve">Guide for use</w:t>
            </w:r>
          </w:p>
          <w:p>
            <w:r>
              <w:rPr>
                <w:rStyle w:val="row-content"/>
              </w:rPr>
              <w:t xml:space="preserve">Data source type: Administrative by-product data, as provided by the Department of Social Services</w:t>
            </w:r>
          </w:p>
          <w:p>
            <w:r>
              <w:rPr>
                <w:rStyle w:val="row-content"/>
                <w:b/>
                <w:color w:val="000000"/>
              </w:rPr>
              <w:t xml:space="preserve">Data Element / Data Set</w:t>
            </w:r>
          </w:p>
          <w:p>
            <w:r>
              <w:rPr>
                <w:rStyle w:val="row-content"/>
                <w:b/>
              </w:rPr>
              <w:t xml:space="preserve">Data Element</w:t>
            </w:r>
          </w:p>
          <w:p>
            <w:r>
              <w:rPr>
                <w:rStyle w:val="row-content"/>
              </w:rPr>
              <w:t xml:space="preserve">New aged care recipient—service type</w:t>
            </w:r>
          </w:p>
          <w:p>
            <w:r>
              <w:rPr>
                <w:rStyle w:val="row-content"/>
                <w:b/>
              </w:rPr>
              <w:t xml:space="preserve">Guide for use</w:t>
            </w:r>
          </w:p>
          <w:p>
            <w:r>
              <w:rPr>
                <w:rStyle w:val="row-content"/>
              </w:rPr>
              <w:t xml:space="preserve">Data source type: Administrative by-product data, as provided by the 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2015 National Healthcare Agreement (NHA) performance reporting:</w:t>
            </w:r>
          </w:p>
          <w:p>
            <w:pPr>
              <w:spacing w:after="160"/>
            </w:pPr>
            <w:r>
              <w:rPr>
                <w:rStyle w:val="row-content-rich-text"/>
              </w:rPr>
              <w:t xml:space="preserve">Most recent data available for 2015 National Healthcare Agreement (NHA) performance reporting: 2013-14.</w:t>
            </w:r>
          </w:p>
          <w:p>
            <w:pPr>
              <w:spacing w:after="160"/>
            </w:pPr>
            <w:r>
              <w:rPr>
                <w:rStyle w:val="row-content-rich-text"/>
              </w:rPr>
              <w:t xml:space="preserve">This indicator needs to be interpreted with care. The measure of 'elapsed time' is utilised because the period of time between the ACAT approval and entry into residential aged care or commencement of a Home Care Package may be due to factors which cannot be categorised as 'waiting' time. These include:</w:t>
            </w:r>
          </w:p>
          <w:p>
            <w:pPr>
              <w:pStyle w:val="ListParagraph"/>
              <w:numPr>
                <w:ilvl w:val="0"/>
                <w:numId w:val="4"/>
              </w:numPr>
            </w:pPr>
            <w:r>
              <w:rPr>
                <w:rStyle w:val="row-content-rich-text"/>
              </w:rPr>
              <w:t xml:space="preserve">care placement offers that are not accepted </w:t>
            </w:r>
          </w:p>
          <w:p>
            <w:pPr>
              <w:pStyle w:val="ListParagraph"/>
              <w:numPr>
                <w:ilvl w:val="0"/>
                <w:numId w:val="4"/>
              </w:numPr>
            </w:pPr>
            <w:r>
              <w:rPr>
                <w:rStyle w:val="row-content-rich-text"/>
              </w:rPr>
              <w:t xml:space="preserve">the availability of alternative community care, informal care and respite services </w:t>
            </w:r>
          </w:p>
          <w:p>
            <w:pPr>
              <w:pStyle w:val="ListParagraph"/>
              <w:numPr>
                <w:ilvl w:val="0"/>
                <w:numId w:val="4"/>
              </w:numPr>
            </w:pPr>
            <w:r>
              <w:rPr>
                <w:rStyle w:val="row-content-rich-text"/>
              </w:rPr>
              <w:t xml:space="preserve">variations in care fee regimes that influence client choice of preferred service </w:t>
            </w:r>
          </w:p>
          <w:p>
            <w:pPr>
              <w:pStyle w:val="ListParagraph"/>
              <w:numPr>
                <w:ilvl w:val="0"/>
                <w:numId w:val="4"/>
              </w:numPr>
            </w:pPr>
            <w:r>
              <w:rPr>
                <w:rStyle w:val="row-content-rich-text"/>
              </w:rPr>
              <w:t xml:space="preserve">building quality and perceptions about quality of care that influence client choice of preferred service</w:t>
            </w:r>
          </w:p>
          <w:p>
            <w:pPr>
              <w:spacing w:after="160"/>
            </w:pPr>
            <w:r>
              <w:rPr>
                <w:rStyle w:val="row-content-rich-text"/>
              </w:rPr>
              <w:t xml:space="preserve">The measure is most relevant for high residential care recipients as the link between entry to residential care and elapsed time is stronger for high care residents than low care residents or community care packaged recipients. This is due to the urgency for high care residents and the greater number of alternatives for people with ACAT approvals for low care or community aged care packages.</w:t>
            </w:r>
          </w:p>
          <w:p>
            <w:pPr/>
            <w:r>
              <w:rPr>
                <w:rStyle w:val="row-content-rich-text"/>
              </w:rPr>
              <w:t xml:space="preserve">From 1 August 2013, the new Home Care Packages Programme commenced, replacing the previous Community Aged Care Packages (CACP), Extended Aged Care at Home (EACH) and Extended Aged Care at Home Dementia (EACHD) packages. Reporting for Home Care Packages are initially by two broad groups of packages - levels 1-2 and levels 3-4 - due to the relatively very small numbers of initial recipients of Home Care Package levels 1 and 3.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Minor work required, the measure needs minor work to meet the intention of the indicator.</w:t>
            </w:r>
          </w:p>
          <w:p>
            <w:pPr/>
            <w:r>
              <w:rPr>
                <w:rStyle w:val="row-content-rich-text"/>
              </w:rPr>
              <w:t xml:space="preserve">Consideration to be given to collect "reason for delayed uptake" where elapsed time is greater than 3 months.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3cd726fef34d1e">
              <w:r>
                <w:rPr>
                  <w:rStyle w:val="Hyperlink"/>
                </w:rPr>
                <w:t xml:space="preserve">National Healthcare Agreement: PI 30-Elapsed time for aged care services, 2014</w:t>
              </w:r>
            </w:hyperlink>
          </w:p>
          <w:p>
            <w:pPr>
              <w:spacing w:before="0" w:after="0"/>
            </w:pPr>
            <w:r>
              <w:rPr>
                <w:rStyle w:val="row-content"/>
                <w:color w:val="244061"/>
              </w:rPr>
              <w:t xml:space="preserve">       </w:t>
            </w:r>
            <w:hyperlink w:history="true" r:id="Rc46dfad3a1d7418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307ae3f473bf4145">
              <w:r>
                <w:rPr>
                  <w:rStyle w:val="Hyperlink"/>
                </w:rPr>
                <w:t xml:space="preserve">National Healthcare Agreement: PI 30–Elapsed time for aged care services, 2016</w:t>
              </w:r>
            </w:hyperlink>
          </w:p>
          <w:p>
            <w:pPr>
              <w:spacing w:before="0" w:after="0"/>
            </w:pPr>
            <w:r>
              <w:rPr>
                <w:rStyle w:val="row-content"/>
                <w:color w:val="244061"/>
              </w:rPr>
              <w:t xml:space="preserve">       </w:t>
            </w:r>
            <w:hyperlink w:history="true" r:id="R2fb773bd31de4f4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8cb62f3b1bf4d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559006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51814b1724e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cb62f3b1bf4d13" /><Relationship Type="http://schemas.openxmlformats.org/officeDocument/2006/relationships/header" Target="/word/header1.xml" Id="R416fce5929bf432a" /><Relationship Type="http://schemas.openxmlformats.org/officeDocument/2006/relationships/settings" Target="/word/settings.xml" Id="R3af387c4e6674aaf" /><Relationship Type="http://schemas.openxmlformats.org/officeDocument/2006/relationships/styles" Target="/word/styles.xml" Id="R675b651707a84623" /><Relationship Type="http://schemas.openxmlformats.org/officeDocument/2006/relationships/hyperlink" Target="https://meteor.aihw.gov.au/RegistrationAuthority/12" TargetMode="External" Id="Rd39d0739407e41f2" /><Relationship Type="http://schemas.openxmlformats.org/officeDocument/2006/relationships/hyperlink" Target="https://meteor.aihw.gov.au/content/558998" TargetMode="External" Id="R2e9b2e25081c4e60" /><Relationship Type="http://schemas.openxmlformats.org/officeDocument/2006/relationships/hyperlink" Target="https://meteor.aihw.gov.au/RegistrationAuthority/12" TargetMode="External" Id="R006d96ae8eaf47ca" /><Relationship Type="http://schemas.openxmlformats.org/officeDocument/2006/relationships/hyperlink" Target="https://meteor.aihw.gov.au/content/393489" TargetMode="External" Id="Rf8d6b6b5dbcc44bf" /><Relationship Type="http://schemas.openxmlformats.org/officeDocument/2006/relationships/hyperlink" Target="https://meteor.aihw.gov.au/RegistrationAuthority/12" TargetMode="External" Id="R6e349b59161b4905" /><Relationship Type="http://schemas.openxmlformats.org/officeDocument/2006/relationships/hyperlink" Target="https://meteor.aihw.gov.au/content/559088" TargetMode="External" Id="R5ef058abca1848cf" /><Relationship Type="http://schemas.openxmlformats.org/officeDocument/2006/relationships/hyperlink" Target="https://meteor.aihw.gov.au/RegistrationAuthority/12" TargetMode="External" Id="R73e5011cd1aa4700" /><Relationship Type="http://schemas.openxmlformats.org/officeDocument/2006/relationships/numbering" Target="/word/numbering.xml" Id="R934c3d99c8d94de1" /><Relationship Type="http://schemas.openxmlformats.org/officeDocument/2006/relationships/hyperlink" Target="https://meteor.aihw.gov.au/content/517618" TargetMode="External" Id="R9e3cd726fef34d1e" /><Relationship Type="http://schemas.openxmlformats.org/officeDocument/2006/relationships/hyperlink" Target="https://meteor.aihw.gov.au/RegistrationAuthority/12" TargetMode="External" Id="Rc46dfad3a1d74184" /><Relationship Type="http://schemas.openxmlformats.org/officeDocument/2006/relationships/hyperlink" Target="https://meteor.aihw.gov.au/content/598718" TargetMode="External" Id="R307ae3f473bf4145" /><Relationship Type="http://schemas.openxmlformats.org/officeDocument/2006/relationships/hyperlink" Target="https://meteor.aihw.gov.au/RegistrationAuthority/12" TargetMode="External" Id="R2fb773bd31de4f4d" /></Relationships>
</file>

<file path=word/_rels/header1.xml.rels>&#65279;<?xml version="1.0" encoding="utf-8"?><Relationships xmlns="http://schemas.openxmlformats.org/package/2006/relationships"><Relationship Type="http://schemas.openxmlformats.org/officeDocument/2006/relationships/image" Target="/media/image.png" Id="R62c51814b1724ec7" /></Relationships>
</file>