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649190adbe4eee"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2013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2013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2013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f179892b54a68">
              <w:r>
                <w:rPr>
                  <w:rStyle w:val="Hyperlink"/>
                  <w:color w:val="244061"/>
                </w:rPr>
                <w:t xml:space="preserve">AIHW Data Quality Statements</w:t>
              </w:r>
            </w:hyperlink>
            <w:r>
              <w:rPr>
                <w:rStyle w:val="row-content"/>
                <w:color w:val="244061"/>
              </w:rPr>
              <w:t xml:space="preserve">, Superseded 28/09/2017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Drug Strategy Household Survey (NDSHS) provides three-yearly estimates of the proportion of the population aged 12 years and older using tobacco, alcohol and illicit drugs. The Survey also captures information about drug-related attitudes, perceptions and support for government policy.</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practice.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The response rate for the 2013 survey was 49.1%.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35b322f16304563">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e4facd8d1dbd4d5b">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eb8ac9084334083">
              <w:r>
                <w:rPr>
                  <w:rStyle w:val="Hyperlink"/>
                </w:rPr>
                <w:t xml:space="preserve">www.aihw.gov.au</w:t>
              </w:r>
            </w:hyperlink>
          </w:p>
          <w:p>
            <w:pPr/>
            <w:r>
              <w:rPr>
                <w:rStyle w:val="row-content-rich-text"/>
              </w:rPr>
              <w:t xml:space="preserve">The NDSHS has been analysed and managed by the AIHW since 1998 and 2001 (respectively).</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three-four month period. 2013 data were collected between late-July and early December 2013.</w:t>
            </w:r>
          </w:p>
          <w:p>
            <w:pPr>
              <w:spacing w:after="160"/>
            </w:pPr>
            <w:r>
              <w:rPr>
                <w:rStyle w:val="row-content-rich-text"/>
              </w:rPr>
              <w:t xml:space="preserve">A preliminary data set was received by the AIHW in late-January 2014 and initial data checks were completed in early February 2014.</w:t>
            </w:r>
          </w:p>
          <w:p>
            <w:pPr/>
            <w:r>
              <w:rPr>
                <w:rStyle w:val="row-content-rich-text"/>
              </w:rPr>
              <w:t xml:space="preserve">Key findings from the 2013 NDSHS were released on 17 July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2013 NDSHS are available on the AIHW website. Key findings can be found in the web compendium: </w:t>
            </w:r>
            <w:hyperlink w:history="true" r:id="Rf9c59e5590df4f7f">
              <w:r>
                <w:rPr>
                  <w:rStyle w:val="Hyperlink"/>
                </w:rPr>
                <w:t xml:space="preserve">Highlights from the 2013 survey </w:t>
              </w:r>
            </w:hyperlink>
            <w:r>
              <w:rPr>
                <w:rStyle w:val="row-content-rich-text"/>
              </w:rPr>
              <w:t xml:space="preserve">and full published results can be found in the 2013 National Drug Strategy Household Survey report.</w:t>
            </w:r>
          </w:p>
          <w:p>
            <w:pPr>
              <w:spacing w:after="160"/>
            </w:pPr>
            <w:r>
              <w:rPr>
                <w:rStyle w:val="row-content-rich-text"/>
              </w:rPr>
              <w:t xml:space="preserve">Users can request data not available online or in reports via the Communications, Media and Marketing Unit on (02) 6244 1032 or via email to </w:t>
            </w:r>
            <w:hyperlink w:history="true" r:id="R33c968618e1841f5">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 confidentialised unit record file is available for 3rd party analysis through the </w:t>
            </w:r>
            <w:hyperlink w:history="true" r:id="R2861cddb370c464a">
              <w:r>
                <w:rPr>
                  <w:rStyle w:val="Hyperlink"/>
                </w:rPr>
                <w:t xml:space="preserve">Australian Data Archive</w:t>
              </w:r>
            </w:hyperlink>
            <w:r>
              <w:rPr>
                <w:rStyle w:val="row-content-rich-text"/>
              </w:rPr>
              <w:t xml:space="preserve">. Access to the master unit record file may be requested through the </w:t>
            </w:r>
            <w:hyperlink w:history="true" r:id="Ra0c4bf67c85c483f">
              <w:r>
                <w:rPr>
                  <w:rStyle w:val="Hyperlink"/>
                </w:rPr>
                <w:t xml:space="preserve">AIHW Ethics Committee</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2013 NDSHS results may be found in Chapter 1 of the 2013 NDSHS report titled ‘Introduction’.</w:t>
            </w:r>
          </w:p>
          <w:p>
            <w:pPr/>
            <w:r>
              <w:rPr>
                <w:rStyle w:val="row-content-rich-text"/>
              </w:rPr>
              <w:t xml:space="preserve">In addition, the 2013 Technical Report, code book and other supporting documentation are available through the </w:t>
            </w:r>
            <w:hyperlink w:history="true" r:id="R15df656801b444d4">
              <w:r>
                <w:rPr>
                  <w:rStyle w:val="Hyperlink"/>
                </w:rPr>
                <w:t xml:space="preserve">Australian Data Archive</w:t>
              </w:r>
            </w:hyperlink>
            <w:r>
              <w:rPr>
                <w:rStyle w:val="row-content-rich-text"/>
              </w:rPr>
              <w:t xml:space="preserve"> website or may be requested from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NDSHS collects self-reported information on tobacco, alcohol and illicit drug use and attitudes from persons aged 12 years and over.</w:t>
            </w:r>
          </w:p>
          <w:p>
            <w:pPr>
              <w:spacing w:after="160"/>
            </w:pP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2013 NDSHS was designed to provide reliable estimates at the national level. The survey was not specifically designed to obtain reliable national estimates for Aboriginal and Torres Strait Islander people, as there was no target sample size for Indigenous Australians. In 2013, the sample size for Indigenous Australians was smaller than anticipated based on population estimates, and so estimates based on this population group should be interpreted with caution.</w:t>
            </w:r>
            <w:r>
              <w:br/>
            </w:r>
            <w:r>
              <w:br/>
            </w:r>
            <w:r>
              <w:br/>
            </w:r>
            <w:r>
              <w:rPr>
                <w:rStyle w:val="row-content-rich-text"/>
                <w:u w:val="single"/>
              </w:rPr>
              <w:t xml:space="preserve">Reference period</w:t>
            </w:r>
            <w:r>
              <w:br/>
            </w:r>
            <w:r>
              <w:rPr>
                <w:rStyle w:val="row-content-rich-text"/>
                <w:u w:val="single"/>
              </w:rPr>
              <w:t xml:space="preserve"> </w:t>
            </w:r>
            <w:r>
              <w:rPr>
                <w:rStyle w:val="row-content-rich-text"/>
              </w:rPr>
              <w:t xml:space="preserve">The fieldwork was conducted from 31 July to 1 December 2013. Respondents to the survey were asked questions relating to their beliefs and experiences covering differing time periods, predominantly over the previous 12 months.</w:t>
            </w:r>
          </w:p>
          <w:p>
            <w:r>
              <w:br/>
            </w:r>
            <w:r>
              <w:rPr>
                <w:rStyle w:val="row-content-rich-text"/>
                <w:u w:val="single"/>
              </w:rPr>
              <w:t xml:space="preserve">Geographic detail</w:t>
            </w:r>
            <w:r>
              <w:br/>
            </w:r>
            <w:r>
              <w:rPr>
                <w:rStyle w:val="row-content-rich-text"/>
                <w:u w:val="single"/>
              </w:rPr>
              <w:t xml:space="preserve"> </w:t>
            </w:r>
            <w:r>
              <w:rPr>
                <w:rStyle w:val="row-content-rich-text"/>
              </w:rPr>
              <w:t xml:space="preserve">In 2013, data were coded to the census collector’s district level. Data are generally published at the national level with a selection of data published at the State/Territory and Remoteness Area levels.</w:t>
            </w:r>
          </w:p>
          <w:p>
            <w:r>
              <w:br/>
            </w:r>
            <w:r>
              <w:rPr>
                <w:rStyle w:val="row-content-rich-text"/>
                <w:u w:val="single"/>
              </w:rPr>
              <w:t xml:space="preserve">Statistical standards</w:t>
            </w:r>
            <w:r>
              <w:br/>
            </w:r>
            <w:r>
              <w:rPr>
                <w:rStyle w:val="row-content-rich-text"/>
                <w:u w:val="single"/>
              </w:rPr>
              <w:t xml:space="preserve"> </w:t>
            </w: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Council’s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Industry Classification (ANZSIC) codes were used as the code-frame for questions relating to occupation and industry. </w:t>
            </w:r>
            <w:r>
              <w:br/>
            </w:r>
            <w:r>
              <w:rPr>
                <w:rStyle w:val="row-content-rich-text"/>
              </w:rPr>
              <w:t xml:space="preserve"> </w:t>
            </w:r>
          </w:p>
          <w:p>
            <w:pPr/>
            <w:r>
              <w:rPr>
                <w:rStyle w:val="row-content-rich-text"/>
                <w:u w:val="single"/>
              </w:rPr>
              <w:t xml:space="preserve">Type of estimates available</w:t>
            </w:r>
            <w:r>
              <w:br/>
            </w:r>
            <w:r>
              <w:rPr>
                <w:rStyle w:val="row-content-rich-text"/>
                <w:u w:val="single"/>
              </w:rPr>
              <w:t xml:space="preserve"> </w:t>
            </w:r>
            <w:r>
              <w:rPr>
                <w:rStyle w:val="row-content-rich-text"/>
                <w:u w:val="single"/>
              </w:rPr>
              <w:t xml:space="preserve">Unadjusted estimates of drug use prevalence, attitudes and beliefs are most commonly reported. In addition, some population estimates and age-standardised data are available for some aspects of the collection. Time series data are also presented for most estimates in the 2013 NDSHS report.</w:t>
            </w:r>
            <w:r>
              <w:br/>
            </w:r>
            <w:r>
              <w:rPr>
                <w:rStyle w:val="row-content-rich-text"/>
                <w:u w:val="single"/>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Perceptions of behaviour</w:t>
            </w:r>
            <w:r>
              <w:br/>
            </w:r>
            <w:r>
              <w:rPr>
                <w:rStyle w:val="row-content-rich-text"/>
                <w:u w:val="single"/>
              </w:rPr>
              <w:t xml:space="preserve"> </w:t>
            </w:r>
            <w:r>
              <w:rPr>
                <w:rStyle w:val="row-content-rich-text"/>
              </w:rPr>
              <w:t xml:space="preserve">It is known from past studies of alcohol and tobacco consumption that respondents tend to underestimate actual consumption levels (Stockwell et al. 2004). There are no equivalent data on the tendencies for under- or over-reporting of actual illicit drug use.</w:t>
            </w:r>
          </w:p>
          <w:p>
            <w:pPr>
              <w:spacing w:after="160"/>
            </w:pPr>
            <w:r>
              <w:rPr>
                <w:rStyle w:val="row-content-rich-text"/>
              </w:rPr>
              <w:t xml:space="preserve">However, illicit drug users, by definition, have committed illegal acts. They are, in part, marginalised and difficult to reach. Accordingly, estimates of illicit drug use and related behaviours are likely to be underestimates of actual practice</w:t>
            </w:r>
            <w:r>
              <w:br/>
            </w:r>
            <w:r>
              <w:br/>
            </w:r>
            <w:r>
              <w:rPr>
                <w:rStyle w:val="row-content-rich-text"/>
                <w:u w:val="single"/>
              </w:rPr>
              <w:t xml:space="preserve">Sample design</w:t>
            </w:r>
            <w:r>
              <w:br/>
            </w:r>
            <w:r>
              <w:rPr>
                <w:rStyle w:val="row-content-rich-text"/>
                <w:u w:val="single"/>
              </w:rPr>
              <w:t xml:space="preserve"> </w:t>
            </w: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w:t>
            </w:r>
          </w:p>
          <w:p>
            <w:pPr>
              <w:spacing w:after="160"/>
            </w:pP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r>
              <w:br/>
            </w:r>
            <w:r>
              <w:br/>
            </w:r>
            <w:r>
              <w:rPr>
                <w:rStyle w:val="row-content-rich-text"/>
                <w:u w:val="single"/>
              </w:rPr>
              <w:t xml:space="preserve">Sampling error</w:t>
            </w:r>
            <w:r>
              <w:br/>
            </w:r>
            <w:r>
              <w:rPr>
                <w:rStyle w:val="row-content-rich-text"/>
                <w:u w:val="single"/>
              </w:rPr>
              <w:t xml:space="preserve"> </w:t>
            </w:r>
            <w:r>
              <w:rPr>
                <w:rStyle w:val="row-content-rich-text"/>
              </w:rPr>
              <w:t xml:space="preserve">The measure used to indicate reliability of individual estimates reported in 2013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br/>
            </w:r>
            <w:r>
              <w:rPr>
                <w:rStyle w:val="row-content-rich-text"/>
                <w:u w:val="single"/>
              </w:rPr>
              <w:t xml:space="preserve">Non-sampling error</w:t>
            </w:r>
            <w:r>
              <w:br/>
            </w:r>
            <w:r>
              <w:rPr>
                <w:rStyle w:val="row-content-rich-text"/>
                <w:u w:val="single"/>
              </w:rPr>
              <w:t xml:space="preserve"> </w:t>
            </w: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rPr>
              <w:t xml:space="preserve">Reported findings are based on self-reported data and not empirically verified by blood tests or other screening measures.</w:t>
            </w:r>
          </w:p>
          <w:p>
            <w:r>
              <w:br/>
            </w:r>
            <w:r>
              <w:rPr>
                <w:rStyle w:val="row-content-rich-text"/>
                <w:u w:val="single"/>
              </w:rPr>
              <w:t xml:space="preserve">Response rates and contact rates</w:t>
            </w:r>
            <w:r>
              <w:br/>
            </w:r>
            <w:r>
              <w:rPr>
                <w:rStyle w:val="row-content-rich-text"/>
                <w:u w:val="single"/>
              </w:rPr>
              <w:t xml:space="preserve"> </w:t>
            </w:r>
            <w:r>
              <w:rPr>
                <w:rStyle w:val="row-content-rich-text"/>
              </w:rPr>
              <w:t xml:space="preserve">Overall, contact was made with 48,579 in-scope households, of which 23,855 questionnaires were categorised as being complete and useable, representing a response rate for the 2010 survey of 49.1%, slightly lower than the drop and collect component of the 2010 survey (50.6%).</w:t>
            </w:r>
            <w:r>
              <w:br/>
            </w: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r>
              <w:br/>
            </w:r>
            <w:r>
              <w:br/>
            </w:r>
            <w:r>
              <w:rPr>
                <w:rStyle w:val="row-content-rich-text"/>
                <w:u w:val="single"/>
              </w:rPr>
              <w:t xml:space="preserve">Indigenous Data</w:t>
            </w:r>
            <w:r>
              <w:br/>
            </w:r>
            <w:r>
              <w:rPr>
                <w:rStyle w:val="row-content-rich-text"/>
                <w:u w:val="single"/>
              </w:rPr>
              <w:t xml:space="preserve"> </w:t>
            </w:r>
            <w:r>
              <w:rPr>
                <w:rStyle w:val="row-content-rich-text"/>
              </w:rPr>
              <w:t xml:space="preserve">The survey was not specifically designed to obtain reliable national estimates for Aboriginal and Torres Strait Islander people, as there was no target sample size for Indigenous Australians. In the 2013 NDSHS, 1.9% of the sample (or approximately 461 respondents) identified as being of Aboriginal or Torres Strait Islander origin. The sample size for Indigenous Australians was smaller than anticipated based on population estimates, and so estimates based on this population group should be interpreted with caution.</w:t>
            </w:r>
          </w:p>
          <w:p>
            <w:pPr>
              <w:spacing w:after="160"/>
            </w:pPr>
            <w:r>
              <w:rPr>
                <w:rStyle w:val="row-content-rich-text"/>
              </w:rPr>
              <w:t xml:space="preserve">The total population of Aboriginal and Torres Strait Islander people forms a very small part of the total Australian population. At the August 2011 census, the Aboriginal and Torres Strait Islander population was officially calculated at 670,000 people, or 2.1% of the total Australian population (ABS 2008b). At that time, about one-third (35%) of the Aboriginal and Torres Strait Islander population lived in Major cities, 22% in Inner regional areas, 22% in Outer regional areas, 8% in Remote areas and 14% in Very remote areas (ABS 2013).</w:t>
            </w:r>
          </w:p>
          <w:p>
            <w:r>
              <w:br/>
            </w:r>
            <w:r>
              <w:rPr>
                <w:rStyle w:val="row-content-rich-text"/>
              </w:rPr>
              <w:t xml:space="preserve">The Aboriginal and Torres Strait Islander population living in Very remote areas shows other differences to populations living in Major cities including in household structure, size and age distribution. The NDSHS sample design is stratified by region and not by remoteness. Due to this sampling design, the NDSHS sample of Indigenous Australians living in Very remote areas comprised of 9% of the population in those regions compared with 14% of Indigenous Australians living in Very remote areas based on the 2011 Census (ABS 2012). Therefore, Aboriginal and Torres Strait Islander people in Very remote areas are under represented, and it becomes difficult to generalise results from Major cities and regional areas to the whole Indigenous population.</w:t>
            </w:r>
          </w:p>
          <w:p>
            <w:r>
              <w:br/>
            </w:r>
            <w:r>
              <w:rPr>
                <w:rStyle w:val="row-content-rich-text"/>
              </w:rPr>
              <w:t xml:space="preserve">The sampling method employed for the NDSHS invited one participant aged over 12 years to take part in the survey. The sample strategy did not take into account the size of the household selected. This is an issue for respondent selection for Indigenous Australians, as often they live in larger households compared with non-Indigenous Australians. This selection process means that Aboriginal and Torres Strait Islander people are proportionately less likely to be selected.</w:t>
            </w:r>
          </w:p>
          <w:p>
            <w:r>
              <w:br/>
            </w:r>
            <w:r>
              <w:rPr>
                <w:rStyle w:val="row-content-rich-text"/>
              </w:rPr>
              <w:t xml:space="preserve">The NDSHS uses a self-completion questionnaire, and requires good comprehension of the English language (as it is not translated into other languages) and the ability to follow instructions. Practicality of the survey design meant that some Aboriginal communities and those with low levels of English literacy may have been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2013 survey differs from previous versions of the survey in some of the questions asked and also used three follow up attempts by interviewers instead of the two used in 2010. </w:t>
            </w:r>
          </w:p>
          <w:p>
            <w:pPr>
              <w:spacing w:after="160"/>
            </w:pPr>
            <w:r>
              <w:rPr>
                <w:rStyle w:val="row-content-rich-text"/>
                <w:u w:val="single"/>
              </w:rPr>
              <w:t xml:space="preserve">Methodology</w:t>
            </w:r>
            <w:r>
              <w:br/>
            </w:r>
            <w:r>
              <w:rPr>
                <w:rStyle w:val="row-content-rich-text"/>
              </w:rPr>
              <w:t xml:space="preserve">The 2013 survey was the second to exclusively use the drop and collect method, the first being 2010. In 2007 and 2004, a combination of computer-assisted telephone interviews (CATI) and drop and collect methods were used, and in earlier waves, personal interviews were also conducted.</w:t>
            </w:r>
          </w:p>
          <w:p>
            <w:pPr>
              <w:spacing w:after="160"/>
            </w:pPr>
            <w:r>
              <w:rPr>
                <w:rStyle w:val="row-content-rich-text"/>
              </w:rPr>
              <w:t xml:space="preserve">The change in methodology in 2010 does have some impact on time series data, and users should exercise some degree of caution when comparing data over time.</w:t>
            </w:r>
          </w:p>
          <w:p>
            <w:pPr>
              <w:spacing w:after="160"/>
            </w:pPr>
            <w:r>
              <w:rPr>
                <w:rStyle w:val="row-content-rich-text"/>
              </w:rPr>
              <w:t xml:space="preserve">Fieldwork was conducted between July and December 2013, slightly later than in previous wave. The collection period also coincided with the 2013 federal election, although no questionnaires were placed on that day.</w:t>
            </w:r>
          </w:p>
          <w:p>
            <w:pPr>
              <w:spacing w:after="160"/>
            </w:pPr>
            <w:r>
              <w:rPr>
                <w:rStyle w:val="row-content-rich-text"/>
                <w:u w:val="single"/>
              </w:rPr>
              <w:t xml:space="preserve">Sample</w:t>
            </w:r>
            <w:r>
              <w:br/>
            </w:r>
            <w:r>
              <w:rPr>
                <w:rStyle w:val="row-content-rich-text"/>
              </w:rPr>
              <w:t xml:space="preserve">To produce reliable estimates for the smaller states and territories, sample sizes were boosted in Tasmania, the Australian Capital Territory and the Northern Territory.</w:t>
            </w:r>
          </w:p>
          <w:p>
            <w:pPr>
              <w:spacing w:after="160"/>
            </w:pPr>
            <w:r>
              <w:rPr>
                <w:rStyle w:val="row-content-rich-text"/>
              </w:rPr>
              <w:t xml:space="preserve">In 2013 and 2010, to improve the geographic coverage of the survey, interviewers were flown to Very remote areas selected in the sample. In previous surveys, some Very remote areas that were initially selected in the sample would have been deemed inaccessible and not included in the final sample.</w:t>
            </w:r>
          </w:p>
          <w:p>
            <w:pPr>
              <w:spacing w:after="160"/>
            </w:pPr>
            <w:r>
              <w:rPr>
                <w:rStyle w:val="row-content-rich-text"/>
                <w:u w:val="single"/>
              </w:rPr>
              <w:t xml:space="preserve">Questionnaire</w:t>
            </w:r>
            <w:r>
              <w:br/>
            </w:r>
            <w:r>
              <w:rPr>
                <w:rStyle w:val="row-content-rich-text"/>
              </w:rPr>
              <w:t xml:space="preserve">The 2013 questionnaire was modelled on the 2010 version, to maintain maximum comparability. However, some refinements were made to ensure the questions remained relevant and useful. For more information on questionnaire changes in 2013 see Chapter 1 of the 2013 NDSHS report.</w:t>
            </w:r>
          </w:p>
          <w:p>
            <w:pPr>
              <w:spacing w:after="160"/>
            </w:pPr>
            <w:r>
              <w:rPr>
                <w:rStyle w:val="row-content-rich-text"/>
                <w:u w:val="single"/>
              </w:rPr>
              <w:t xml:space="preserve">Comparison with other collections</w:t>
            </w:r>
            <w:r>
              <w:br/>
            </w:r>
            <w:r>
              <w:rPr>
                <w:rStyle w:val="row-content-rich-text"/>
              </w:rPr>
              <w:t xml:space="preserve">Comparisons of data from previous waves of the NDSHS, the Australian Health Survey and the Australian School Student’s Alcohol and other Drug Survey show variations in estimates. Differences in scope, collection methodology and design may account for this variation and comparisons between collections should be made with caution. </w:t>
            </w:r>
          </w:p>
          <w:p>
            <w:pPr>
              <w:spacing w:after="160"/>
            </w:pPr>
            <w:r>
              <w:rPr>
                <w:rStyle w:val="row-content-rich-text"/>
              </w:rPr>
              <w:t xml:space="preserve">There is more than one data source for information about tobacco, alcohol and other drug use among Aboriginal and Torres Strait Islander people. The most common data sources used for reporting the use of tobacco, alcohol and other drugs by Indigenous Australians are the National Aboriginal and Torres Strait Islander Social Survey (NATSISS) and the Australian Aboriginal and Torres Strait Islander Health Survey (AATSIHS).</w:t>
            </w:r>
            <w:r>
              <w:br/>
            </w:r>
            <w:r>
              <w:rPr>
                <w:rStyle w:val="row-content-rich-text"/>
              </w:rPr>
              <w:t xml:space="preserve">Differences between the surveys vary considerably and include the extent to which remote areas were surveyed, the age groups included and the sample sizes. The questions asked in the surveys also differ considerably. So the results from the surveys are not directly comparable. It is important to keep this in mind when considering data from each of the surveys—results that may initially seem to contradict one another may be simply applicable to different groups within the population.</w:t>
            </w:r>
            <w:r>
              <w:br/>
            </w:r>
            <w:r>
              <w:rPr>
                <w:rStyle w:val="row-content-rich-text"/>
              </w:rPr>
              <w:t xml:space="preserve">The 2012–13 AATSIHS estimated that around 41% of Indigenous Australians aged 15 years or older were daily smokers (ABS 2013), while the 2013 NDSHS estimated that figure to be about 32%.</w:t>
            </w:r>
          </w:p>
          <w:p>
            <w:pPr>
              <w:spacing w:after="160"/>
            </w:pPr>
            <w:r>
              <w:rPr>
                <w:rStyle w:val="row-content-rich-text"/>
              </w:rPr>
              <w:t xml:space="preserve">Comparisons between Indigenous and non-Indigenous Australians can be made using data from the AATSIHS results and the 2011–12 National Healthy Survey. The surveys showed that after adjusting for differences in age structure between the two populations, Aboriginal and Torres Strait Islander people aged 15 years and over were 2.6 times as likely as non-Indigenous people to be current daily smokers (39.8% compared with 15.4%, respectively). In comparison, results from the 2013 NDSHS showed that Indigenous Australians aged 14 years or older were 2.5 times as likely as non-Indigenous Australians to smoke daily (31.6% compared with 12.4%). So while the estimated proportion of smokers from the NDSHS is lower than the AATSIHS and National Health Survey estimates, the relative proportions are very similar.</w:t>
            </w:r>
          </w:p>
          <w:p>
            <w:pPr/>
            <w:r>
              <w:rPr>
                <w:rStyle w:val="row-content-rich-text"/>
                <w:u w:val="single"/>
              </w:rPr>
              <w:t xml:space="preserve">Analysis</w:t>
            </w:r>
            <w:r>
              <w:br/>
            </w:r>
            <w:r>
              <w:rPr>
                <w:rStyle w:val="row-content-rich-text"/>
                <w:u w:val="single"/>
              </w:rPr>
              <w:t xml:space="preserve"> </w:t>
            </w:r>
            <w:r>
              <w:rPr>
                <w:rStyle w:val="row-content-rich-text"/>
              </w:rPr>
              <w:t xml:space="preserve">The alcohol risk calculation (lifetime risk and single occasion risk) was revised in 2013. In previous years (2010 and earlier) a very small proportion of recent drinkers who did not provide information on quantity of alcohol consumed were assumed to be ‘low risk’. In 2013, these drinkers were excluded from alcohol risk analysis and trend data was revised (2001 to 2010) and will not match data presented in previous reports. The denominators used to calculate a person’s drinking status and their alcohol risk levels are slightly different and therefore the proportion of ‘abstainers’ no longer equates to the proportion of those who ‘never drank’ and ‘ex-drinkers’ combined.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Tobacco, Alcohol and Other Drug&amp;nbsp;Unit,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776d1097bb45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3d6fc9c544dfc">
              <w:r>
                <w:rPr>
                  <w:rStyle w:val="Hyperlink"/>
                </w:rPr>
                <w:t xml:space="preserve">National Drug Strategy Household Survey 2010 – Data Quality Statement</w:t>
              </w:r>
            </w:hyperlink>
          </w:p>
          <w:p>
            <w:pPr>
              <w:pStyle w:val="registration-status"/>
              <w:spacing w:before="0" w:after="0"/>
            </w:pPr>
            <w:hyperlink w:history="true" r:id="R712bfad05ff44741">
              <w:r>
                <w:rPr>
                  <w:rStyle w:val="Hyperlink"/>
                  <w:color w:val="244061"/>
                </w:rPr>
                <w:t xml:space="preserve">AIHW Data Quality Statements</w:t>
              </w:r>
            </w:hyperlink>
            <w:r>
              <w:rPr>
                <w:rStyle w:val="row-content"/>
                <w:color w:val="244061"/>
              </w:rPr>
              <w:t xml:space="preserve">, Superseded 25/11/2014</w:t>
            </w:r>
          </w:p>
          <w:p>
            <w:r>
              <w:br/>
            </w:r>
            <w:r>
              <w:rPr>
                <w:rStyle w:val="row-content"/>
              </w:rPr>
              <w:t xml:space="preserve">Has been superseded by </w:t>
            </w:r>
            <w:hyperlink w:history="true" r:id="R9ba0073ec4d2412d">
              <w:r>
                <w:rPr>
                  <w:rStyle w:val="Hyperlink"/>
                </w:rPr>
                <w:t xml:space="preserve">National Drug Strategy Household Survey 2016 – Data Quality Statement</w:t>
              </w:r>
            </w:hyperlink>
          </w:p>
          <w:p>
            <w:pPr>
              <w:pStyle w:val="registration-status"/>
              <w:spacing w:before="0" w:after="0"/>
            </w:pPr>
            <w:hyperlink w:history="true" r:id="R71a2853ad0114a18">
              <w:r>
                <w:rPr>
                  <w:rStyle w:val="Hyperlink"/>
                  <w:color w:val="244061"/>
                </w:rPr>
                <w:t xml:space="preserve">AIHW Data Quality Statements</w:t>
              </w:r>
            </w:hyperlink>
            <w:r>
              <w:rPr>
                <w:rStyle w:val="row-content"/>
                <w:color w:val="244061"/>
              </w:rPr>
              <w:t xml:space="preserve">, Superseded 16/07/2020</w:t>
            </w:r>
          </w:p>
          <w:p>
            <w:r>
              <w:br/>
            </w:r>
            <w:r>
              <w:rPr>
                <w:rStyle w:val="row-content"/>
              </w:rPr>
              <w:t xml:space="preserve">Has been superseded by </w:t>
            </w:r>
            <w:hyperlink w:history="true" r:id="R3d9243a10e394bcd">
              <w:r>
                <w:rPr>
                  <w:rStyle w:val="Hyperlink"/>
                </w:rPr>
                <w:t xml:space="preserve">National Drug Strategy Household Survey 2019; Data Quality Statement</w:t>
              </w:r>
            </w:hyperlink>
          </w:p>
          <w:p>
            <w:pPr>
              <w:pStyle w:val="registration-status"/>
              <w:spacing w:before="0" w:after="0"/>
            </w:pPr>
            <w:hyperlink w:history="true" r:id="R3184b41cf9574336">
              <w:r>
                <w:rPr>
                  <w:rStyle w:val="Hyperlink"/>
                  <w:color w:val="244061"/>
                </w:rPr>
                <w:t xml:space="preserve">AIHW Data Quality Statements</w:t>
              </w:r>
            </w:hyperlink>
            <w:r>
              <w:rPr>
                <w:rStyle w:val="row-content"/>
                <w:color w:val="244061"/>
              </w:rPr>
              <w:t xml:space="preserve">, Superseded 29/02/2024</w:t>
            </w:r>
          </w:p>
          <w:p>
            <w:r>
              <w:br/>
            </w:r>
          </w:p>
        </w:tc>
      </w:tr>
    </w:tbl>
    <w:p>
      <w:r>
        <w:br/>
      </w:r>
    </w:p>
    <w:sectPr>
      <w:footerReference xmlns:r="http://schemas.openxmlformats.org/officeDocument/2006/relationships" w:type="default" r:id="Rdaa4c1dcb4c4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d4baae441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4c1dcb4c44c4d" /><Relationship Type="http://schemas.openxmlformats.org/officeDocument/2006/relationships/header" Target="/word/header1.xml" Id="Re2b94738f7c548da" /><Relationship Type="http://schemas.openxmlformats.org/officeDocument/2006/relationships/settings" Target="/word/settings.xml" Id="Raa414df54e954d9e" /><Relationship Type="http://schemas.openxmlformats.org/officeDocument/2006/relationships/styles" Target="/word/styles.xml" Id="R8f134db1de48401f" /><Relationship Type="http://schemas.openxmlformats.org/officeDocument/2006/relationships/numbering" Target="/word/numbering.xml" Id="R310145cb55714362" /><Relationship Type="http://schemas.openxmlformats.org/officeDocument/2006/relationships/hyperlink" Target="http://www.aihw.gov.au/ethics/" TargetMode="External" Id="Rc39b71d1633f4f54" /><Relationship Type="http://schemas.openxmlformats.org/officeDocument/2006/relationships/hyperlink" Target="https://meteor.aihw.gov.au/RegistrationAuthority/5" TargetMode="External" Id="R6fbf179892b54a68" /><Relationship Type="http://schemas.openxmlformats.org/officeDocument/2006/relationships/hyperlink" Target="http://www.comlaw.gov.au/Series/C2004A03450" TargetMode="External" Id="Rf35b322f16304563" /><Relationship Type="http://schemas.openxmlformats.org/officeDocument/2006/relationships/hyperlink" Target="http://www.aihw.gov.au/aihw-board/" TargetMode="External" Id="Re4facd8d1dbd4d5b" /><Relationship Type="http://schemas.openxmlformats.org/officeDocument/2006/relationships/hyperlink" Target="http://www.aihw.gov.au/" TargetMode="External" Id="Rfeb8ac9084334083" /><Relationship Type="http://schemas.openxmlformats.org/officeDocument/2006/relationships/hyperlink" Target="http://www.aihw.gov.au/alcohol-and-other-drugs/ndshs/" TargetMode="External" Id="Rf9c59e5590df4f7f" /><Relationship Type="http://schemas.openxmlformats.org/officeDocument/2006/relationships/hyperlink" Target="mailto:info@aihw.gov.au" TargetMode="External" Id="R33c968618e1841f5" /><Relationship Type="http://schemas.openxmlformats.org/officeDocument/2006/relationships/hyperlink" Target="http://www.ada.edu.au/" TargetMode="External" Id="R2861cddb370c464a" /><Relationship Type="http://schemas.openxmlformats.org/officeDocument/2006/relationships/hyperlink" Target="http://www.aihw.gov.au/ethics/" TargetMode="External" Id="Ra0c4bf67c85c483f" /><Relationship Type="http://schemas.openxmlformats.org/officeDocument/2006/relationships/hyperlink" Target="http://www.ada.edu.au/social-science/browse/alcohol--tobacco-and-other-drugs/national-drug-strategy-household-survey" TargetMode="External" Id="R15df656801b444d4" /><Relationship Type="http://schemas.openxmlformats.org/officeDocument/2006/relationships/hyperlink" Target="https://meteor.aihw.gov.au/content/246013" TargetMode="External" Id="R8d776d1097bb4508" /><Relationship Type="http://schemas.openxmlformats.org/officeDocument/2006/relationships/hyperlink" Target="https://meteor.aihw.gov.au/content/511160" TargetMode="External" Id="Rbe73d6fc9c544dfc" /><Relationship Type="http://schemas.openxmlformats.org/officeDocument/2006/relationships/hyperlink" Target="https://meteor.aihw.gov.au/RegistrationAuthority/5" TargetMode="External" Id="R712bfad05ff44741" /><Relationship Type="http://schemas.openxmlformats.org/officeDocument/2006/relationships/hyperlink" Target="https://meteor.aihw.gov.au/content/682686" TargetMode="External" Id="R9ba0073ec4d2412d" /><Relationship Type="http://schemas.openxmlformats.org/officeDocument/2006/relationships/hyperlink" Target="https://meteor.aihw.gov.au/RegistrationAuthority/5" TargetMode="External" Id="R71a2853ad0114a18" /><Relationship Type="http://schemas.openxmlformats.org/officeDocument/2006/relationships/hyperlink" Target="https://meteor.aihw.gov.au/content/730155" TargetMode="External" Id="R3d9243a10e394bcd" /><Relationship Type="http://schemas.openxmlformats.org/officeDocument/2006/relationships/hyperlink" Target="https://meteor.aihw.gov.au/RegistrationAuthority/5" TargetMode="External" Id="R3184b41cf9574336" /></Relationships>
</file>

<file path=word/_rels/header1.xml.rels>&#65279;<?xml version="1.0" encoding="utf-8"?><Relationships xmlns="http://schemas.openxmlformats.org/package/2006/relationships"><Relationship Type="http://schemas.openxmlformats.org/officeDocument/2006/relationships/image" Target="/media/image.png" Id="R32ad4baae441494e" /></Relationships>
</file>