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4fe4b1925049f2"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84de35cb649e8">
              <w:r>
                <w:rPr>
                  <w:rStyle w:val="Hyperlink"/>
                  <w:color w:val="244061"/>
                </w:rPr>
                <w:t xml:space="preserve">AIHW Data Quality Statements</w:t>
              </w:r>
            </w:hyperlink>
            <w:r>
              <w:rPr>
                <w:rStyle w:val="row-content"/>
                <w:color w:val="244061"/>
              </w:rPr>
              <w:t xml:space="preserve">, Standard 23/01/2014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2012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third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aspects from previous years, but is now nationally consistent. The NHWDS: medical practitioners 2012 is also more complete than the NHWDS: medical practitioners 2010.</w:t>
            </w:r>
          </w:p>
          <w:p>
            <w:pPr>
              <w:spacing w:after="160"/>
            </w:pPr>
            <w:r>
              <w:rPr>
                <w:rStyle w:val="row-content-rich-text"/>
              </w:rPr>
              <w:t xml:space="preserve">The major issues with data quality for the NHWDS: medical practitioners 2012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Medical workforce 2010, were found to be under-enumerated, so comparisons should be made with caution. The NHWDS: medical practitioners 2010 data have been revised and included in this publication.</w:t>
            </w:r>
          </w:p>
          <w:p>
            <w:pPr>
              <w:pStyle w:val="ListParagraph"/>
              <w:numPr>
                <w:ilvl w:val="0"/>
                <w:numId w:val="2"/>
              </w:numPr>
            </w:pPr>
            <w:r>
              <w:rPr>
                <w:rStyle w:val="row-content-rich-text"/>
              </w:rPr>
              <w:t xml:space="preserve">The classification of specialist providers used for data previously published in Medical workforce 2011, have been updated for this publication, so comparisons should be made with caution. The NHWDS: medical practitioners 2011 data have been revised and included in this publication.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to the methodology between the NHWDS: medical practitioners 2011 derivation and the NHWDS: medical practitioners 2012 derivation.</w:t>
            </w:r>
          </w:p>
          <w:p>
            <w:pPr>
              <w:pStyle w:val="ListParagraph"/>
              <w:numPr>
                <w:ilvl w:val="0"/>
                <w:numId w:val="2"/>
              </w:numPr>
            </w:pPr>
            <w:r>
              <w:rPr>
                <w:rStyle w:val="row-content-rich-text"/>
              </w:rPr>
              <w:t xml:space="preserve">The NHWDS: medical practitioners 2010 did not include Queensland and Western Australia for tables related to employed practitioners, so comparisons involving 2010 data should be made with caution. Queensland and Western Australian employed practitioners were excluded from the data due to non-alignment of renewal cycles in the transition to the National Scheme, and for Western Australia, the later date of commencement of the National Scheme. </w:t>
            </w:r>
          </w:p>
          <w:p>
            <w:pPr>
              <w:spacing w:after="160"/>
            </w:pPr>
            <w:r>
              <w:rPr>
                <w:rStyle w:val="row-content-rich-text"/>
              </w:rPr>
              <w:t xml:space="preserve">Description</w:t>
            </w:r>
          </w:p>
          <w:p>
            <w:pPr>
              <w:spacing w:after="160"/>
            </w:pPr>
            <w:r>
              <w:rPr>
                <w:rStyle w:val="row-content-rich-text"/>
              </w:rPr>
              <w:t xml:space="preserve">The NHWDS: medical practitioners 2012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 For initial registration, medical practitioners must use a paper form and provide supplementary supporting documentation. Limited and provisional registration renewals are done using paper forms. This information is referred to as 'registration data'. The majority of medical practitioners are due to renew their registrations on 30 September each year. Limited and provisional registration renewals occur on an anniversary basis. This is the anniversary of when the individual practitioner last registered/renewed. Apart from limited and provisional registrations, medical practitioners can renew their registration either online via the AHPRA website or by using a paper form provided by the AHPRA. Data collected at renewal include demographic information such as age, sex and country of birth; and details of health qualification(s) and registration status (see &lt;http://www.medicalboard.gov.au/Registration/Types.aspx&gt; and select link to Registration type and then Registration form).</w:t>
            </w:r>
          </w:p>
          <w:p>
            <w:pPr>
              <w:spacing w:after="160"/>
            </w:pPr>
            <w:r>
              <w:rPr>
                <w:rStyle w:val="row-content-rich-text"/>
              </w:rPr>
              <w:t xml:space="preserve">Online surveys</w:t>
            </w:r>
          </w:p>
          <w:p>
            <w:pPr>
              <w:spacing w:after="160"/>
            </w:pP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&lt;http://www.aihw.gov.au/workforce-publications/&gt; and select link to Medical workforce 2012). Limited and provisional registrants—excluding ‘limited (public interest - occasional practice)—receive only paper surveys. AHPRA stores both the online registration data and the survey information in separate databases. They then send these two data sets to AIHW, where they are merged into a de-identified national data set.</w:t>
            </w:r>
          </w:p>
          <w:p>
            <w:pPr>
              <w:spacing w:after="160"/>
            </w:pPr>
            <w:r>
              <w:rPr>
                <w:rStyle w:val="row-content-rich-text"/>
              </w:rPr>
              <w:t xml:space="preserve">Paper-form surveys</w:t>
            </w:r>
          </w:p>
          <w:p>
            <w:pPr>
              <w:spacing w:after="160"/>
            </w:pP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&lt;http://www.aihw.gov.au&gt;.</w:t>
            </w:r>
          </w:p>
          <w:p>
            <w:pP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2012. AIHW is the data custodian of the NHWDS: medical practitioners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pPr>
              <w:spacing w:after="160"/>
            </w:pP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registrants are renewed on the anniversary of their commencement. These responses are included with the regular survey respondents.</w:t>
            </w:r>
          </w:p>
          <w:p>
            <w:pPr>
              <w:spacing w:after="160"/>
            </w:pPr>
            <w:r>
              <w:rPr>
                <w:rStyle w:val="row-content-rich-text"/>
              </w:rPr>
              <w:t xml:space="preserve">Due to significant delays with finalisation of data extraction from the new national registration system, complete and final data were provided to AIHW much later than originally scheduled. Initial data provided needed joint reviews by AHPRA, AIHW and HWA to manage the range of considerations and data quality issues described in this publication. This review process improved data quality, data definitions, metadata and data cleansing and led to improvements in AHPRA’s extracting scripts to provide consistency in data exchange specifications. While it delayed the supply of data, it improved the overall quality. AIHW expected to receive both the registration and workforce survey data simultaneously at the end of December 2012. Due to the factors above, the AIHW received complete useable registration and workforce survey data from AHPRA in July 2013. AHPRA have indicated that future data provision is anticipated to be timely and provided six weeks from the close of registration on 30 September. A last-minute delay by HWA in reprocessing paper form data after problems were found also contributed to delaying this publication.</w:t>
            </w:r>
          </w:p>
          <w:p>
            <w:pPr/>
            <w:r>
              <w:rPr>
                <w:rStyle w:val="row-content-rich-text"/>
              </w:rPr>
              <w:t xml:space="preserve">Delays in processing and reporting on the earlier NHWDS: medical practitioners 2010 and 2011, NHWDS: allied health 2011 and 2012 and NHWDS: nurses and midwives 2011, also contributed to AIHW delays in reporting the 2012 data and releasing the Medical Practitioner Workforce 2012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2012 are published in the Medical workforce 2012 report. The report, workforce survey questionnaire, user guide to the data set and additional detailed tables are available on the AIHW website at &lt;http://www.aihw.gov.au/workforce-publications/&gt; (select link to Medical workforce 2012).</w:t>
            </w:r>
          </w:p>
          <w:p>
            <w:pPr/>
            <w:r>
              <w:rPr>
                <w:rStyle w:val="row-content-rich-text"/>
              </w:rPr>
              <w:t xml:space="preserve">Users can request data not available online or in reports via the Communications, Media and Marketing Unit on (02) 6244 1032 or via email to &lt;info@aihw.gov.au&gt;. Requests that take longer than half an hour to compile are charged for on a cost-recovery basis. 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2012 may be found in Appendix A of the Medical Workforce 2012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2012 contains registration details of all registered medical practitioners in Australia at 30 September 2012.</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2012 contains registration details of all registered medical practitioners in Australia at 30 September 2012.</w:t>
            </w:r>
          </w:p>
          <w:p>
            <w:pPr>
              <w:spacing w:after="160"/>
            </w:pPr>
            <w:r>
              <w:rPr>
                <w:rStyle w:val="row-content-rich-text"/>
              </w:rPr>
              <w:t xml:space="preserve">The data set also contains workforce information for registered medical practitioners who completed the Medical Workforce Survey. The overall response rate to the 2012 survey was 90.1%. That is, the number of responses to the survey represented 90.1% of registered medical practitioners. Of these responses, 88.7% completed the 2012 version of the survey online, 0.04% completed the 2011 version of the survey online, 10.5% completed the 2012 version of the survey on paper and 0.8% completed the 2011 version of the survey on paper.</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included as part of the registration and renewal process. However, the data for some of these items are incomplete due to the data being migrated from previous jurisdictional registration systems.</w:t>
            </w:r>
          </w:p>
          <w:p>
            <w:pPr>
              <w:spacing w:after="160"/>
            </w:pPr>
            <w:r>
              <w:rPr>
                <w:rStyle w:val="row-content-rich-text"/>
              </w:rPr>
              <w:t xml:space="preserve">There were a number of data items which had incomplete responses. This included small numbers of responses to questions on sex and state and territory of principal practice, which are items used in the survey estimation process. Missing values were imputed for the question about the practitioner’s sex. Many medical practitioners who are overseas could not be identified by the registration process and they have been included with practitioners whose state or territory of principal practice could not be determined. Therefore, the missing values cannot be imputed, which affects the weighting method.</w:t>
            </w:r>
          </w:p>
          <w:p>
            <w:pPr>
              <w:spacing w:after="160"/>
            </w:pPr>
            <w:r>
              <w:rPr>
                <w:rStyle w:val="row-content-rich-text"/>
              </w:rPr>
              <w:t xml:space="preserve">The NRAS allows a medical practitioner to record more than one specialty, with up to seven specialties recorded in 2012. However, the National Law does not require or enable practitioners to identify their primary speciality. In 2012 this was addressed by the addition of a survey question that allowed practitioners to identify a main sub-specialty of practice. However there were a number of issues with respondents making apparent errors in reporting their specialties on the survey form, multiple responses being allowed to the question and the allocation of primary specialties for non- respondents. To address these issues AIHW have allocated a primary specialty based on the survey responses and the recorded set of specialties held by each medical practitioner.</w:t>
            </w:r>
          </w:p>
          <w:p>
            <w:pPr>
              <w:spacing w:after="160"/>
            </w:pPr>
            <w:r>
              <w:rPr>
                <w:rStyle w:val="row-content-rich-text"/>
              </w:rPr>
              <w:t xml:space="preserve">Some data items such as citizenship and residency status contain only migrated data and, because they are not required for registration purposes, may not be updated.</w:t>
            </w:r>
          </w:p>
          <w:p>
            <w:pPr>
              <w:spacing w:after="160"/>
            </w:pPr>
            <w:r>
              <w:rPr>
                <w:rStyle w:val="row-content-rich-text"/>
              </w:rPr>
              <w:t xml:space="preserve">For a large number of practitioners, country of birth and country of initial qualification data could not be mapped to the Standard Australian Classification of Countries (SACC). These records were coded to ‘not stated’ or inadequately described. Work continues in the significant task of re-processing qualifications data to provide more structured information. For example, current records may have ‘MBBS USyd.’ as the practitioner’s qualification, with fields for qualifying institution and qualifying country left blank. Similarly, qualifications are not currently categorised as to which are relevant to the profession, so, for example, practitioners registered as both ‘physiotherapists’ and ‘medical practitioners’ will have both sets of qualifications on the database, with no structured way to extract date of first qualification or country of first qualification for the registration in question. In 2012 this was addressed by the addition of a survey question that allowed practitioners to identify a country of first medical qualification and a country of first specialist qualification. This report includes data from the responses to these survey questions.</w:t>
            </w:r>
          </w:p>
          <w:p>
            <w:pPr>
              <w:spacing w:after="160"/>
            </w:pPr>
            <w:r>
              <w:rPr>
                <w:rStyle w:val="row-content-rich-text"/>
              </w:rPr>
              <w:t xml:space="preserve">A small number of invalid values and formats for date of birth and year of initial qualification appeared in the registration data collected by the NRAS (for example, system-generated dates such as 1 January 1900).</w:t>
            </w:r>
          </w:p>
          <w:p>
            <w:pPr>
              <w:spacing w:after="160"/>
            </w:pPr>
            <w:r>
              <w:rPr>
                <w:rStyle w:val="row-content-rich-text"/>
              </w:rPr>
              <w:t xml:space="preserve">Workforce Survey 2012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2012 design</w:t>
            </w:r>
          </w:p>
          <w:p>
            <w:pPr>
              <w:spacing w:after="160"/>
            </w:pPr>
            <w:r>
              <w:rPr>
                <w:rStyle w:val="row-content-rich-text"/>
              </w:rPr>
              <w:t xml:space="preserve">In 2012,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The order of the response categories for the ‘reason not working in medicine in Australia’ question appears to be an issue. The question offers the response option ‘retired from regular work’ after ‘not working in paid employment at all’, which may not be logical as practitioners may be retired but still work irregularly (for example, as an occasional locum). On this basis, the response option ‘retired from regular work’ should appear before ‘not working in paid employment at all’. The issue with the order in the 2012 survey questionnaire is that it may lead to an undercount of those retired from regular work and an over-representation of those not working in paid employment.</w:t>
            </w:r>
          </w:p>
          <w:p>
            <w:pPr>
              <w:spacing w:after="160"/>
            </w:pPr>
            <w:r>
              <w:rPr>
                <w:rStyle w:val="row-content-rich-text"/>
              </w:rPr>
              <w:t xml:space="preserve">Variation between the online and paper surveys has provided additional data quality issues for a number of questions. For example, ‘state of main job’ included the category ‘other territories’ on the paper form while the same response category in the online form was simply labelled ‘other’. The data showed a large number in the ‘other’ category captured in the online method, which was not similarly found in the paper responses. In addition, ‘state/territory of principal practice’ and residence data items do not include the categories ‘other territories’ or ‘other’.</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only. A number of these practitioners were found upon closer inspection to have overseas specialist qualifications with limited registration status and also to have answered ‘specialist-in-training’ questions. Under the National Law, specialist registration is available only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pPr>
              <w:spacing w:after="160"/>
            </w:pPr>
            <w:r>
              <w:rPr>
                <w:rStyle w:val="row-content-rich-text"/>
              </w:rPr>
              <w:t xml:space="preserve">The ‘location of principal practice’ recorded in the registration data was often different from the corresponding details of practitioners’ main job as self-reported in the survey. Given that 14.4% more medical practitioners have the Northern Territory as their state of main job in the week before the survey than have it as their principal practice location on the AHPRA database, this probably reflects temporary movement.</w:t>
            </w:r>
          </w:p>
          <w:p>
            <w:pPr>
              <w:spacing w:after="160"/>
            </w:pP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state/territory of main job is used in all tables except where otherwise stated. As a consequence of this methodology, medical practitioners who were working overseas but maintained an Australian contact address have been allocated in state tables to the state where that contact address was, though the majority of them remained classified as ‘overseas’.</w:t>
            </w:r>
          </w:p>
          <w:p>
            <w:pPr>
              <w:spacing w:after="160"/>
            </w:pPr>
            <w:r>
              <w:rPr>
                <w:rStyle w:val="row-content-rich-text"/>
              </w:rPr>
              <w:t xml:space="preserve">For generating weights, the principal state was derived using principal practice location, residential address and main job location, in that order.</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2012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and overseas postal identifiers. Conversely, ‘suburb of main job’ information often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2012—coherence with previous data</w:t>
            </w:r>
          </w:p>
          <w:p>
            <w:pPr>
              <w:spacing w:after="160"/>
            </w:pPr>
            <w:r>
              <w:rPr>
                <w:rStyle w:val="row-content-rich-text"/>
              </w:rPr>
              <w:t xml:space="preserve">AIHW published Medical workforce 2010 on 28 March 2012, which was the first release of data derived from the new NRAS. Medical workforce 2011 was published on 23 January 2013.</w:t>
            </w:r>
          </w:p>
          <w:p>
            <w:pPr>
              <w:spacing w:after="160"/>
            </w:pPr>
            <w:r>
              <w:rPr>
                <w:rStyle w:val="row-content-rich-text"/>
              </w:rPr>
              <w:t xml:space="preserve">Previously published data for 2011 and 2010 included provisional registrants in the benchmarks as they were not separately weighted or identified in analysis. As a result, growth between 2011 and 2012 is understated by the order of 3.6%. There were very few other changes between the Medical Workforce Survey data for 2011 and 2012 so data are considered comparable.</w:t>
            </w:r>
          </w:p>
          <w:p>
            <w:pPr>
              <w:spacing w:after="160"/>
            </w:pPr>
            <w:r>
              <w:rPr>
                <w:rStyle w:val="row-content-rich-text"/>
              </w:rPr>
              <w:t xml:space="preserve">There were many issues with the 2010 survey data, especially multiple supplies and revisions to the scope of data as well as the lack of data from Queensland and Western Australia. Queensland and Western Australia were consequently removed from the workforce tables in the 2010 publication.</w:t>
            </w:r>
          </w:p>
          <w:p>
            <w:pPr>
              <w:spacing w:after="160"/>
            </w:pPr>
            <w:r>
              <w:rPr>
                <w:rStyle w:val="row-content-rich-text"/>
              </w:rPr>
              <w:t xml:space="preserve">Due to the above issues, this publication makes only minimal comparisons between the 2010 and later data.</w:t>
            </w:r>
          </w:p>
          <w:p>
            <w:pPr>
              <w:spacing w:after="160"/>
            </w:pPr>
            <w:r>
              <w:rPr>
                <w:rStyle w:val="row-content-rich-text"/>
              </w:rPr>
              <w:t xml:space="preserve">Medical labour force data published by the AIHW before the establishment of the NRAS was the result of collated jurisdiction-level occupation-specific surveys. The Medical Workforce Survey from 2010 to 2012, collect similar data items to the 2009 and earlier surveys;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pPr>
              <w:spacing w:after="160"/>
            </w:pPr>
            <w:r>
              <w:rPr>
                <w:rStyle w:val="row-content-rich-text"/>
              </w:rPr>
              <w:t xml:space="preserve">The scope and coverage of the Medical Workforce Surveys from 2010 to 2012 are also different to that of the previous surveys because in some jurisdictions not all types of registered medical practitioners were sent a survey form.</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Speciality of practice, from 2010 to 2012,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p>
          <w:p>
            <w:pPr>
              <w:spacing w:after="160"/>
            </w:pPr>
            <w:r>
              <w:rPr>
                <w:rStyle w:val="row-content-rich-text"/>
              </w:rPr>
              <w:t xml:space="preserve">However, the NRAS does not identify main specialty. There have also been significant changes in the classification of categories of specialty of practice used in the NHWDS: medical practitioners from 2010 to 2012 compared with that used in the previous AIHW Medical Labour Force Survey reports. There are 84 valid legally-defined specialties and subspecialties in the NHWDS: medical practitioners, (for example: ‘cardiologist (physician)’ and ‘general practice’), while there were over 50 specialties published in the previous AIHW Medical Labour Force Survey reports.</w:t>
            </w:r>
          </w:p>
          <w:p>
            <w:pPr>
              <w:spacing w:after="160"/>
            </w:pPr>
            <w:r>
              <w:rPr>
                <w:rStyle w:val="row-content-rich-text"/>
              </w:rPr>
              <w:t xml:space="preserve">A new question was included in the 2012 survey to allow a primary specialty to be derived at the detailed level. Primary specialties in the 2010 and 2011 were derived using their recorded specialties and information from the AIHW Medical Labour Force Survey 2009.</w:t>
            </w:r>
          </w:p>
          <w:p>
            <w:pPr>
              <w:spacing w:after="160"/>
            </w:pPr>
            <w:r>
              <w:rPr>
                <w:rStyle w:val="row-content-rich-text"/>
              </w:rPr>
              <w:t xml:space="preserve">Thus, comparison of 2012 specialty data with results from earlier surveys should be treated with caution.</w:t>
            </w:r>
          </w:p>
          <w:p>
            <w:pPr>
              <w:spacing w:after="160"/>
            </w:pPr>
            <w:r>
              <w:rPr>
                <w:rStyle w:val="row-content-rich-text"/>
              </w:rPr>
              <w:t xml:space="preserve">Some jurisdictions collected temporary resident status but temporary resident status was not collected on a national basis before 2010 in the AIHW Medical Labour Force Survey. Visa category number was not collected in prior years.</w:t>
            </w:r>
          </w:p>
          <w:p>
            <w:pPr>
              <w:spacing w:after="160"/>
            </w:pPr>
            <w:r>
              <w:rPr>
                <w:rStyle w:val="row-content-rich-text"/>
              </w:rPr>
              <w:t xml:space="preserve">The three employment-related questions in the Medical Workforce Survey 2010 to 2012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this additional explanation may have avoided confusion for medical practitioners who worked in medicine during the survey reference week but in a voluntary capacity.</w:t>
            </w:r>
          </w:p>
          <w:p>
            <w:pPr>
              <w:spacing w:after="160"/>
            </w:pPr>
            <w:r>
              <w:rPr>
                <w:rStyle w:val="row-content-rich-text"/>
              </w:rPr>
              <w:t xml:space="preserve">A change in the response options for the question about ‘principal area of main job in medicine’, from ‘GP/primary care practitioner’ before 2010 to ‘general practitioner’ may have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In 2011 the online question about ‘principal area of main job in medicine’ included the term ‘hospital non-specialist (salaried)’ as a response category while the paper form included the term ‘hospital non-specialist’. In 2012 only the term ‘hospital non-specialist’ was used on both forms. This may also have led to the observed increase in responses in the ‘other clinician’ category in 2011.</w:t>
            </w:r>
          </w:p>
          <w:p>
            <w:pPr>
              <w:spacing w:after="160"/>
            </w:pPr>
            <w:r>
              <w:rPr>
                <w:rStyle w:val="row-content-rich-text"/>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includes only ‘hospital’ as a response category. In 2012, further information on hospital work settings was collected as part of the sector question where a more detailed split was included.</w:t>
            </w:r>
          </w:p>
          <w:p>
            <w:pPr>
              <w:spacing w:after="160"/>
            </w:pPr>
            <w:r>
              <w:rPr>
                <w:rStyle w:val="row-content-rich-text"/>
              </w:rPr>
              <w:t xml:space="preserve">Response options for the ‘hours worked by sector’ question were restricted in 2012 to clinical hours only, whereas the equivalent question in 2011 was a split by total hours. The 2012 version of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questionnaires,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2012 and AIHW Labour Force Survey data before 2010 be made with caution.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75f1ca1d9c4e94">
              <w:r>
                <w:rPr>
                  <w:rStyle w:val="Hyperlink"/>
                </w:rPr>
                <w:t xml:space="preserve">Australian Institute of Health and Welfare</w:t>
              </w:r>
            </w:hyperlink>
          </w:p>
        </w:tc>
      </w:tr>
    </w:tbl>
    <w:p>
      <w:r>
        <w:br/>
      </w:r>
    </w:p>
    <w:sectPr>
      <w:footerReference xmlns:r="http://schemas.openxmlformats.org/officeDocument/2006/relationships" w:type="default" r:id="Rbbce4c0ebf1741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558851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b433cb93a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ce4c0ebf174120" /><Relationship Type="http://schemas.openxmlformats.org/officeDocument/2006/relationships/header" Target="/word/header1.xml" Id="Rca8c97654d194ec8" /><Relationship Type="http://schemas.openxmlformats.org/officeDocument/2006/relationships/settings" Target="/word/settings.xml" Id="R6ec79be6e1bd46a4" /><Relationship Type="http://schemas.openxmlformats.org/officeDocument/2006/relationships/styles" Target="/word/styles.xml" Id="R5b76e8adf1ec4655" /><Relationship Type="http://schemas.openxmlformats.org/officeDocument/2006/relationships/hyperlink" Target="https://meteor.aihw.gov.au/RegistrationAuthority/5" TargetMode="External" Id="Rf1084de35cb649e8" /><Relationship Type="http://schemas.openxmlformats.org/officeDocument/2006/relationships/numbering" Target="/word/numbering.xml" Id="R2fcb0bd1ef9946a1" /><Relationship Type="http://schemas.openxmlformats.org/officeDocument/2006/relationships/hyperlink" Target="https://meteor.aihw.gov.au/content/246013" TargetMode="External" Id="Ra275f1ca1d9c4e94" /></Relationships>
</file>

<file path=word/_rels/header1.xml.rels>&#65279;<?xml version="1.0" encoding="utf-8"?><Relationships xmlns="http://schemas.openxmlformats.org/package/2006/relationships"><Relationship Type="http://schemas.openxmlformats.org/officeDocument/2006/relationships/image" Target="/media/image.png" Id="R154b433cb93a4485" /></Relationships>
</file>