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32ad38f7b043c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Rate of healthcare-associated Staphylococcus aureus bloodstream infection,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Rate of healthcare-associated Staphylococcus aureus bloodstream infection,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 of healthcare-associated Staphylococcus aureus bloodstream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97acfdef34dad">
              <w:r>
                <w:rPr>
                  <w:rStyle w:val="Hyperlink"/>
                  <w:color w:val="244061"/>
                </w:rPr>
                <w:t xml:space="preserve">National Health Performance Authority (retired)</w:t>
              </w:r>
            </w:hyperlink>
            <w:r>
              <w:rPr>
                <w:rStyle w:val="row-content"/>
                <w:color w:val="244061"/>
              </w:rPr>
              <w:t xml:space="preserve">, Superseded 09/04/2015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healthcare-associated </w:t>
            </w:r>
            <w:r>
              <w:rPr>
                <w:rStyle w:val="row-content-rich-text"/>
                <w:i/>
              </w:rPr>
              <w:t xml:space="preserve">Staphylococcus aureus</w:t>
            </w:r>
            <w:r>
              <w:rPr>
                <w:rStyle w:val="row-content-rich-text"/>
              </w:rPr>
              <w:t xml:space="preserve"> (including MRSA) bloodstream infection attributable to receiving care at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9049022c874c04">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652e98dfa084490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4afefda18e49ad">
              <w:r>
                <w:rPr>
                  <w:rStyle w:val="Hyperlink"/>
                </w:rPr>
                <w:t xml:space="preserve">Hospital and Related Care</w:t>
              </w:r>
            </w:hyperlink>
          </w:p>
          <w:p>
            <w:pPr>
              <w:spacing w:before="0" w:after="0"/>
            </w:pPr>
            <w:r>
              <w:rPr>
                <w:rStyle w:val="row-content"/>
                <w:color w:val="244061"/>
              </w:rPr>
              <w:t xml:space="preserve">       </w:t>
            </w:r>
            <w:hyperlink w:history="true" r:id="R29f68753cc274af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66b5410a985454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rate of </w:t>
            </w:r>
            <w:r>
              <w:rPr>
                <w:rStyle w:val="row-content-rich-text"/>
                <w:i/>
              </w:rPr>
              <w:t xml:space="preserve">Staphylococcus aureus</w:t>
            </w:r>
            <w:r>
              <w:rPr>
                <w:rStyle w:val="row-content-rich-text"/>
              </w:rPr>
              <w:t xml:space="preserve"> (</w:t>
            </w:r>
            <w:r>
              <w:rPr>
                <w:rStyle w:val="row-content-rich-text"/>
                <w:i/>
              </w:rPr>
              <w:t xml:space="preserve">S. aureus</w:t>
            </w:r>
            <w:r>
              <w:rPr>
                <w:rStyle w:val="row-content-rich-text"/>
              </w:rPr>
              <w:t xml:space="preserve">) bloodstream infections associated with care provided at this hospital. Cases include both methicillin- or multi-resistant Staphylococcus aureus (MRSA) and methicillin-sensitive Staphylococcus aureus (MSSA).</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bloodstream infection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(SAB)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Inclusions:</w:t>
            </w:r>
          </w:p>
          <w:p>
            <w:pPr>
              <w:spacing w:after="160"/>
            </w:pPr>
            <w:r>
              <w:rPr>
                <w:rStyle w:val="row-content-rich-text"/>
              </w:rPr>
              <w:t xml:space="preserve">Numerator and denominator include cases or patient days under surveillance for unqualified newborns.</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6), then this would be considered a second patient-episode of SAB.</w:t>
            </w:r>
          </w:p>
          <w:p>
            <w:pPr>
              <w:spacing w:after="160"/>
            </w:pPr>
            <w:r>
              <w:rPr>
                <w:rStyle w:val="row-content-rich-text"/>
              </w:rPr>
              <w:t xml:space="preserve">Numerator and denominator exclude cases or patient days under surveillance for posthumous organ procurement and hospital boarders.</w:t>
            </w:r>
          </w:p>
          <w:p>
            <w:pPr/>
            <w:r>
              <w:rPr>
                <w:rStyle w:val="row-content-rich-text"/>
              </w:rPr>
              <w:t xml:space="preserve">Rate is presented as the number per 10,000 patient days for hospitals with greater or equal to 5,000 patient days under surveillance. Rate is not reported for hospitals with fewer than 5,000 patient days under surveillance, only the number of SAB cases. Rates are rounded to two decimal places.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in the Computation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f6123db75a4459">
              <w:r>
                <w:rPr>
                  <w:rStyle w:val="Hyperlink"/>
                </w:rPr>
                <w:t xml:space="preserve">Establishment—number of cases of healthcare associated Staphylococcus aureus bloodstream infection, total number N[NNNNN]</w:t>
              </w:r>
            </w:hyperlink>
          </w:p>
          <w:p>
            <w:r>
              <w:rPr>
                <w:rStyle w:val="row-content"/>
                <w:b/>
              </w:rPr>
              <w:t xml:space="preserve">Data Source</w:t>
            </w:r>
          </w:p>
          <w:p>
            <w:hyperlink w:history="true" r:id="R701408ebb9324ef2">
              <w:r>
                <w:rPr>
                  <w:rStyle w:val="Hyperlink"/>
                </w:rPr>
                <w:t xml:space="preserve">State/territory infection surveillance data</w:t>
              </w:r>
            </w:hyperlink>
          </w:p>
          <w:p>
            <w:r>
              <w:rPr>
                <w:rStyle w:val="row-content"/>
                <w:b/>
              </w:rPr>
              <w:t xml:space="preserve">NMDS / DSS</w:t>
            </w:r>
          </w:p>
          <w:p>
            <w:hyperlink w:history="true" r:id="R27789bbbd8114fa9">
              <w:r>
                <w:rPr>
                  <w:rStyle w:val="Hyperlink"/>
                </w:rPr>
                <w:t xml:space="preserve">National Health Performance Authority, Hospital Performance: National Staphylococcus aureus Bacteraemia Dataset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under infection surveillance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99e55ce72547c4">
              <w:r>
                <w:rPr>
                  <w:rStyle w:val="Hyperlink"/>
                </w:rPr>
                <w:t xml:space="preserve">Establishment—number of patient days under infection surveillance monitoring, total days N[N(7)]</w:t>
              </w:r>
            </w:hyperlink>
          </w:p>
          <w:p>
            <w:r>
              <w:rPr>
                <w:rStyle w:val="row-content"/>
                <w:b/>
              </w:rPr>
              <w:t xml:space="preserve">Data Source</w:t>
            </w:r>
          </w:p>
          <w:p>
            <w:hyperlink w:history="true" r:id="Rb7dd18d6134b4820">
              <w:r>
                <w:rPr>
                  <w:rStyle w:val="Hyperlink"/>
                </w:rPr>
                <w:t xml:space="preserve">State/territory admitted patient data</w:t>
              </w:r>
            </w:hyperlink>
          </w:p>
          <w:p>
            <w:r>
              <w:rPr>
                <w:rStyle w:val="row-content"/>
                <w:b/>
              </w:rPr>
              <w:t xml:space="preserve">NMDS / DSS</w:t>
            </w:r>
          </w:p>
          <w:p>
            <w:hyperlink w:history="true" r:id="R10c5d0a6267740a4">
              <w:r>
                <w:rPr>
                  <w:rStyle w:val="Hyperlink"/>
                </w:rPr>
                <w:t xml:space="preserve">National Health Performance Authority, Hospital Performance: National Staphylococcus aureus Bacteraemia Dataset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specific to hospital-level public reporting of healthcare-associated </w:t>
            </w:r>
            <w:r>
              <w:rPr>
                <w:rStyle w:val="row-content-rich-text"/>
                <w:i/>
              </w:rPr>
              <w:t xml:space="preserve">S. aureus</w:t>
            </w:r>
            <w:r>
              <w:rPr>
                <w:rStyle w:val="row-content-rich-text"/>
              </w:rPr>
              <w:t xml:space="preserve"> bloodstream infections in Australian public and private hospitals. In this context, healthcare-associated refers to those cases determined by expert infection control staff to have been acquired while the patient was receiving care at this hospital. While the majority of these care encounters are for admitted patients, patients receiving outpatient care or care in the emergency department can also be included.</w:t>
            </w:r>
          </w:p>
          <w:p>
            <w:pPr>
              <w:spacing w:after="160"/>
            </w:pPr>
            <w:r>
              <w:rPr>
                <w:rStyle w:val="row-content-rich-text"/>
              </w:rPr>
              <w:t xml:space="preserve">At some hospitals, the percentage of hospital beds covered by the infection surveillance program can be less than 100%. This means that some wards or units have been excluded from surveillance and the reported infection rate may not reflect all cases in that hospital. However, the reported surveillance coverage has been increasing since 2009-10, from 97.2% to 99.2% in 2011-12 and 99.4% in 2012-13.</w:t>
            </w:r>
          </w:p>
          <w:p>
            <w:pPr>
              <w:spacing w:after="160"/>
            </w:pPr>
            <w:r>
              <w:rPr>
                <w:rStyle w:val="row-content-rich-text"/>
              </w:rPr>
              <w:t xml:space="preserve">Some smaller hospitals report their results as part of a larger hospitals results. In these instances, all SAB cases and patient days under surveillance are added to and reported in the results of the larger hospital. Special messages are included on the MyHospitals webpages for both parent and child hospital.</w:t>
            </w:r>
          </w:p>
          <w:p>
            <w:pPr>
              <w:spacing w:after="160"/>
            </w:pPr>
            <w:r>
              <w:rPr>
                <w:rStyle w:val="row-content-rich-text"/>
              </w:rPr>
              <w:t xml:space="preserve">Only episodes associated with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Following a data specification change in early 2011, patient days for unqualified newborns are now included while patient days for hospital boarders and posthumous organ procurement are now excluded. All state and territory public hospitals used the same specification for 2012-13 data. Data were retrospectively supplied by states for 2009-10 and 2010-11 resulting in comparable data being available from 2009-10 onwards with the following exceptions:</w:t>
            </w:r>
          </w:p>
          <w:p>
            <w:pPr>
              <w:spacing w:after="160"/>
            </w:pPr>
            <w:r>
              <w:rPr>
                <w:rStyle w:val="row-content-rich-text"/>
              </w:rPr>
              <w:t xml:space="preserve">1) Western Australia’s public hospital data for 2010-11 and 2011-12 were reported using a different specification to 2012-13 data; the 2010-11 and 2011-12 specification did not include unqualified newborn and mental health days in the patient days under surveillance and therefore this data is not comparable</w:t>
            </w:r>
          </w:p>
          <w:p>
            <w:pPr>
              <w:spacing w:after="160"/>
            </w:pPr>
            <w:r>
              <w:rPr>
                <w:rStyle w:val="row-content-rich-text"/>
              </w:rPr>
              <w:t xml:space="preserve">2) Queensland’s public hospital data for 2010-11 were reported using a different specification to 2011-12 and 2012-13 data; the 2010-11 specification did not include patient days for those aged 14 and younger in the patient days under surveillance and therefore the 2010-11 data is not comparable to other states or to later Queensland data</w:t>
            </w:r>
          </w:p>
          <w:p>
            <w:pPr>
              <w:spacing w:after="160"/>
            </w:pPr>
            <w:r>
              <w:rPr>
                <w:rStyle w:val="row-content-rich-text"/>
              </w:rPr>
              <w:t xml:space="preserve">3) Private hospitals data may have been collected using different specifications for some years, however, there is no further evidence available on this.</w:t>
            </w:r>
          </w:p>
          <w:p>
            <w:pPr/>
            <w:r>
              <w:rPr>
                <w:rStyle w:val="row-content-rich-text"/>
              </w:rPr>
              <w:t xml:space="preserve">Variation in admission practices across jurisdictions will influence the denominator for this indicator, impacting on the comparability of rates. 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e.g. 2.56, 0.89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d5c9e41bbd4b9a">
              <w:r>
                <w:rPr>
                  <w:rStyle w:val="Hyperlink"/>
                </w:rPr>
                <w:t xml:space="preserve">PAF-Safety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1e5ec969294f22">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b7eb390f6c834dc6">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13/03/2014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29df8b48b74596">
              <w:r>
                <w:rPr>
                  <w:rStyle w:val="Hyperlink"/>
                </w:rPr>
                <w:t xml:space="preserve">National Health Performance Authority, Hospital Performance: Rate of healthcare-associated Staphylococcus aureus bloodstream infection, 2015</w:t>
              </w:r>
            </w:hyperlink>
          </w:p>
          <w:p>
            <w:pPr>
              <w:spacing w:before="0" w:after="0"/>
            </w:pPr>
            <w:r>
              <w:rPr>
                <w:rStyle w:val="row-content"/>
                <w:color w:val="244061"/>
              </w:rPr>
              <w:t xml:space="preserve">       </w:t>
            </w:r>
            <w:hyperlink w:history="true" r:id="R1f4e17e5081c4bf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fca46676730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20d5368da046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a4667673040e7" /><Relationship Type="http://schemas.openxmlformats.org/officeDocument/2006/relationships/header" Target="/word/header1.xml" Id="R6aaaa2196dff48db" /><Relationship Type="http://schemas.openxmlformats.org/officeDocument/2006/relationships/settings" Target="/word/settings.xml" Id="Rd83920fda8ab4116" /><Relationship Type="http://schemas.openxmlformats.org/officeDocument/2006/relationships/styles" Target="/word/styles.xml" Id="R2618070350b44355" /><Relationship Type="http://schemas.openxmlformats.org/officeDocument/2006/relationships/hyperlink" Target="https://meteor.aihw.gov.au/RegistrationAuthority/8" TargetMode="External" Id="R43b97acfdef34dad" /><Relationship Type="http://schemas.openxmlformats.org/officeDocument/2006/relationships/hyperlink" Target="https://meteor.aihw.gov.au/content/528408" TargetMode="External" Id="R409049022c874c04" /><Relationship Type="http://schemas.openxmlformats.org/officeDocument/2006/relationships/hyperlink" Target="https://meteor.aihw.gov.au/RegistrationAuthority/8" TargetMode="External" Id="R652e98dfa0844900" /><Relationship Type="http://schemas.openxmlformats.org/officeDocument/2006/relationships/hyperlink" Target="https://meteor.aihw.gov.au/content/393487" TargetMode="External" Id="Reb4afefda18e49ad" /><Relationship Type="http://schemas.openxmlformats.org/officeDocument/2006/relationships/hyperlink" Target="https://meteor.aihw.gov.au/RegistrationAuthority/12" TargetMode="External" Id="R29f68753cc274aff" /><Relationship Type="http://schemas.openxmlformats.org/officeDocument/2006/relationships/hyperlink" Target="https://meteor.aihw.gov.au/RegistrationAuthority/8" TargetMode="External" Id="R966b5410a985454d" /><Relationship Type="http://schemas.openxmlformats.org/officeDocument/2006/relationships/numbering" Target="/word/numbering.xml" Id="R7a48a30408bc4fc7" /><Relationship Type="http://schemas.openxmlformats.org/officeDocument/2006/relationships/hyperlink" Target="https://meteor.aihw.gov.au/content/559228" TargetMode="External" Id="R84f6123db75a4459" /><Relationship Type="http://schemas.openxmlformats.org/officeDocument/2006/relationships/hyperlink" Target="https://meteor.aihw.gov.au/content/402699" TargetMode="External" Id="R701408ebb9324ef2" /><Relationship Type="http://schemas.openxmlformats.org/officeDocument/2006/relationships/hyperlink" Target="https://meteor.aihw.gov.au/content/559233" TargetMode="External" Id="R27789bbbd8114fa9" /><Relationship Type="http://schemas.openxmlformats.org/officeDocument/2006/relationships/hyperlink" Target="https://meteor.aihw.gov.au/content/559230" TargetMode="External" Id="Re499e55ce72547c4" /><Relationship Type="http://schemas.openxmlformats.org/officeDocument/2006/relationships/hyperlink" Target="https://meteor.aihw.gov.au/content/426458" TargetMode="External" Id="Rb7dd18d6134b4820" /><Relationship Type="http://schemas.openxmlformats.org/officeDocument/2006/relationships/hyperlink" Target="https://meteor.aihw.gov.au/content/559233" TargetMode="External" Id="R10c5d0a6267740a4" /><Relationship Type="http://schemas.openxmlformats.org/officeDocument/2006/relationships/hyperlink" Target="https://meteor.aihw.gov.au/content/554932" TargetMode="External" Id="R68d5c9e41bbd4b9a" /><Relationship Type="http://schemas.openxmlformats.org/officeDocument/2006/relationships/hyperlink" Target="https://meteor.aihw.gov.au/content/426458" TargetMode="External" Id="R131e5ec969294f22" /><Relationship Type="http://schemas.openxmlformats.org/officeDocument/2006/relationships/hyperlink" Target="https://meteor.aihw.gov.au/content/402699" TargetMode="External" Id="Rb7eb390f6c834dc6" /><Relationship Type="http://schemas.openxmlformats.org/officeDocument/2006/relationships/hyperlink" Target="https://meteor.aihw.gov.au/content/602700" TargetMode="External" Id="R2f29df8b48b74596" /><Relationship Type="http://schemas.openxmlformats.org/officeDocument/2006/relationships/hyperlink" Target="https://meteor.aihw.gov.au/RegistrationAuthority/8" TargetMode="External" Id="R1f4e17e5081c4bf8" /></Relationships>
</file>

<file path=word/_rels/header1.xml.rels>&#65279;<?xml version="1.0" encoding="utf-8"?><Relationships xmlns="http://schemas.openxmlformats.org/package/2006/relationships"><Relationship Type="http://schemas.openxmlformats.org/officeDocument/2006/relationships/image" Target="/media/image.png" Id="R2020d5368da0469f" /></Relationships>
</file>