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2186c9d7414e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b2cac89f54d4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the AHS were conducted under the </w:t>
            </w:r>
            <w:r>
              <w:rPr>
                <w:rStyle w:val="row-content-rich-text"/>
                <w:i/>
              </w:rPr>
              <w:t xml:space="preserve">Census and Statistics Act 1905</w:t>
            </w:r>
            <w:r>
              <w:rPr>
                <w:rStyle w:val="row-content-rich-text"/>
              </w:rPr>
              <w:t xml:space="preserve">. Ethics approval was sought and gained (for the NHMS component only) from the Australian Government Department of Health and Ageing‘s Departmental Ethics Committee.</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92d486f95b6b459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Islanders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NHMS uses a combination of blood test results for fasting plasma glucose and self-reported information on diabetes diagnosis and medication use to measure prevalence of Type 2 diabetes.</w:t>
            </w:r>
          </w:p>
          <w:p>
            <w:pPr>
              <w:spacing w:after="160"/>
            </w:pPr>
            <w:r>
              <w:rPr>
                <w:rStyle w:val="row-content-rich-text"/>
              </w:rPr>
              <w:t xml:space="preserve">A respondent to the survey is considered to have known diabetes (type 2) if they had ever been told by a doctor or nurse that they have Type 2 diabetes and:</w:t>
            </w:r>
          </w:p>
          <w:p>
            <w:pPr>
              <w:pStyle w:val="ListParagraph"/>
              <w:numPr>
                <w:ilvl w:val="0"/>
                <w:numId w:val="2"/>
              </w:numPr>
            </w:pPr>
            <w:r>
              <w:rPr>
                <w:rStyle w:val="row-content-rich-text"/>
              </w:rPr>
              <w:t xml:space="preserve"> They were taking diabetes medication (either insulin or tablets); or </w:t>
            </w:r>
          </w:p>
          <w:p>
            <w:pPr>
              <w:pStyle w:val="ListParagraph"/>
              <w:numPr>
                <w:ilvl w:val="0"/>
                <w:numId w:val="2"/>
              </w:numPr>
            </w:pPr>
            <w:r>
              <w:rPr>
                <w:rStyle w:val="row-content-rich-text"/>
              </w:rPr>
              <w:t xml:space="preserve"> Their blood test result for fasting plasma glucose was greater than or equal to 7.0 mmol/L. </w:t>
            </w:r>
          </w:p>
          <w:p>
            <w:pPr>
              <w:spacing w:after="160"/>
            </w:pPr>
            <w:r>
              <w:rPr>
                <w:rStyle w:val="row-content-rich-text"/>
              </w:rPr>
              <w:t xml:space="preserve">A respondent to the survey is considered to have newly diagnosed diabetes if they reported no prior diagnosis of diabetes, but had a fasting plasma glucose value greater than or equal to 7.0 mmol/L.</w:t>
            </w:r>
          </w:p>
          <w:p>
            <w:pPr>
              <w:spacing w:after="160"/>
            </w:pPr>
            <w:r>
              <w:rPr>
                <w:rStyle w:val="row-content-rich-text"/>
              </w:rPr>
              <w:t xml:space="preserve">Note: The type of diabetes for newly diagnosed cases cannot be determined from a fasting plasma glucose test alone. However, as it is assumed that the vast majority of newly diagnosed cases would be Type 2, all newly diagnosed cases of diabetes have been included in this measure.</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r>
              <w:rPr>
                <w:rStyle w:val="row-content-rich-text"/>
              </w:rPr>
              <w:t xml:space="preserve">This indicator, and the supplementary indicator, generally have acceptable levels of sampling error for State/Territory by sex breakdown. However, rates by sex for the Northern Territory should be used with caution. Likewise, the RSEs for Remote Australia are both greater than 25 per cent and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The AHS collected a range of other health-related information that can be analysed in conjunction with diabetes status.</w:t>
            </w:r>
          </w:p>
          <w:p>
            <w:pPr>
              <w:spacing w:after="160"/>
            </w:pPr>
            <w:r>
              <w:rPr>
                <w:rStyle w:val="row-content-rich-text"/>
              </w:rPr>
              <w:t xml:space="preserve">Other non-ABS collections, such as the 1999–2000 Australian Diabetes, Obesity and Lifestyle Study (AusDiab) and the 2009–10 Victorian Health Monitor (VHM) have reported estimates of diabetes prevalence based on biomedical measures and self-reported diagnosis and medication use.</w:t>
            </w:r>
          </w:p>
          <w:p>
            <w:pPr>
              <w:spacing w:after="160"/>
            </w:pPr>
            <w:r>
              <w:rPr>
                <w:rStyle w:val="row-content-rich-text"/>
              </w:rPr>
              <w:t xml:space="preserve">Results from the recent VHM were very similar to those from the NHMS. Results from AusDiab showed higher estimates of diabetes than the NHMS, however this difference is most likely due to the difference in test used to measure diabetes (AusDiab used an Oral Glucose Tolerance test, which is a more comprehensive test for diabetes than fasting plasma glucose).</w:t>
            </w:r>
          </w:p>
          <w:p>
            <w:pPr/>
            <w:r>
              <w:rPr>
                <w:rStyle w:val="row-content-rich-text"/>
              </w:rPr>
              <w:t xml:space="preserve">For information on how these studies compare, see </w:t>
            </w:r>
            <w:r>
              <w:rPr>
                <w:rStyle w:val="row-content-rich-text"/>
                <w:i/>
              </w:rPr>
              <w:t xml:space="preserve">Australian Health Survey: Biomedical Results for Chronic Disease</w:t>
            </w:r>
            <w:r>
              <w:rPr>
                <w:rStyle w:val="row-content-rich-text"/>
              </w:rPr>
              <w:t xml:space="preserve"> (cat. no. 4364.0.55.005).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23ad15fcae4693">
              <w:r>
                <w:rPr>
                  <w:rStyle w:val="Hyperlink"/>
                </w:rPr>
                <w:t xml:space="preserve">National Healthcare Agreement: PI 10-Prevalence of Type 2 diabetes, 2015 QS</w:t>
              </w:r>
            </w:hyperlink>
          </w:p>
          <w:p>
            <w:pPr>
              <w:spacing w:before="0" w:after="0"/>
            </w:pPr>
            <w:r>
              <w:rPr>
                <w:rStyle w:val="row-content"/>
                <w:color w:val="244061"/>
              </w:rPr>
              <w:t xml:space="preserve">       </w:t>
            </w:r>
            <w:hyperlink w:history="true" r:id="R13aaca3513844b09">
              <w:r>
                <w:rPr>
                  <w:rStyle w:val="Hyperlink"/>
                  <w:color w:val="244061"/>
                </w:rPr>
                <w:t xml:space="preserve">Health</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2e015134b5b4cd9">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dff3f27eb05f454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9f9ca6b5798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e37538b3a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9ca6b579840e4" /><Relationship Type="http://schemas.openxmlformats.org/officeDocument/2006/relationships/header" Target="/word/header1.xml" Id="R652a87e5c28a4300" /><Relationship Type="http://schemas.openxmlformats.org/officeDocument/2006/relationships/settings" Target="/word/settings.xml" Id="Rabf283a49952479c" /><Relationship Type="http://schemas.openxmlformats.org/officeDocument/2006/relationships/styles" Target="/word/styles.xml" Id="Rb2dccc7e75dc4a46" /><Relationship Type="http://schemas.openxmlformats.org/officeDocument/2006/relationships/hyperlink" Target="https://meteor.aihw.gov.au/RegistrationAuthority/12" TargetMode="External" Id="R8acb2cac89f54d43" /><Relationship Type="http://schemas.openxmlformats.org/officeDocument/2006/relationships/hyperlink" Target="http://www.abs.gov.au/websitedbs/d3310114.nsf/4a256353001af3ed4b2562bb00121564/10ca14cb967e5b83ca2573ae00197b65!OpenDocument" TargetMode="External" Id="R92d486f95b6b459a" /><Relationship Type="http://schemas.openxmlformats.org/officeDocument/2006/relationships/numbering" Target="/word/numbering.xml" Id="R490ae00193aa4c08" /><Relationship Type="http://schemas.openxmlformats.org/officeDocument/2006/relationships/hyperlink" Target="https://meteor.aihw.gov.au/content/559146" TargetMode="External" Id="R1423ad15fcae4693" /><Relationship Type="http://schemas.openxmlformats.org/officeDocument/2006/relationships/hyperlink" Target="https://meteor.aihw.gov.au/RegistrationAuthority/12" TargetMode="External" Id="R13aaca3513844b09" /><Relationship Type="http://schemas.openxmlformats.org/officeDocument/2006/relationships/hyperlink" Target="https://meteor.aihw.gov.au/content/517667" TargetMode="External" Id="Ra2e015134b5b4cd9" /><Relationship Type="http://schemas.openxmlformats.org/officeDocument/2006/relationships/hyperlink" Target="https://meteor.aihw.gov.au/RegistrationAuthority/12" TargetMode="External" Id="Rdff3f27eb05f4549" /></Relationships>
</file>

<file path=word/_rels/header1.xml.rels>&#65279;<?xml version="1.0" encoding="utf-8"?><Relationships xmlns="http://schemas.openxmlformats.org/package/2006/relationships"><Relationship Type="http://schemas.openxmlformats.org/officeDocument/2006/relationships/image" Target="/media/image.png" Id="R8c2e37538b3a461f" /></Relationships>
</file>