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24597573ff48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cac10b80441e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The interview components of the AHS were conducted under the </w:t>
            </w:r>
            <w:r>
              <w:rPr>
                <w:rStyle w:val="row-content-rich-text"/>
                <w:i/>
              </w:rPr>
              <w:t xml:space="preserve">Census and Statistics Act 1905</w:t>
            </w:r>
            <w:r>
              <w:rPr>
                <w:rStyle w:val="row-content-rich-text"/>
              </w:rPr>
              <w:t xml:space="preserve">. Ethics approval was sought and gained (for the NHMS component only) from the Australian Government Department of Health and Ageing‘s Departmental Ethics Committee.</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254f0f076bd0448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including diabetes, are closely associated with age. However, there was not sufficient numbers across age ranges to do any meaningful age standardisation at the State/Territory, Socio-Economic Indexes for Areas (SEIFA) or Remoteness level for this indicator. Therefore the data presented are based on crude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fasting plasma glucose test is used in the determination of people with known diabetes and the glycated haemoglobin (HbA1c) test is used in the determination of effective management of diabetes.</w:t>
            </w:r>
          </w:p>
          <w:p>
            <w:pPr>
              <w:spacing w:after="160"/>
            </w:pPr>
            <w:r>
              <w:rPr>
                <w:rStyle w:val="row-content-rich-text"/>
              </w:rPr>
              <w:t xml:space="preserve">The 2011–12 NHMS uses a combination of blood test results for fasting plasma glucose and self-reported information on diabetes diagnosis and medication use to measure prevalence of known diabetes.</w:t>
            </w:r>
          </w:p>
          <w:p>
            <w:pPr>
              <w:spacing w:after="160"/>
            </w:pPr>
            <w:r>
              <w:rPr>
                <w:rStyle w:val="row-content-rich-text"/>
              </w:rPr>
              <w:t xml:space="preserve">A respondent to the survey is considered to have known diabetes if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 </w:t>
            </w:r>
          </w:p>
          <w:p>
            <w:pPr>
              <w:spacing w:after="160"/>
            </w:pPr>
            <w:r>
              <w:rPr>
                <w:rStyle w:val="row-content-rich-text"/>
              </w:rPr>
              <w:t xml:space="preserve">Persons with known diabetes who have an HbA1c result of less than or equal to 7.0 per cent are considered to be managing their diabetes effectively.</w:t>
            </w:r>
          </w:p>
          <w:p>
            <w:pPr>
              <w:spacing w:after="160"/>
            </w:pPr>
            <w:r>
              <w:rPr>
                <w:rStyle w:val="row-content-rich-text"/>
              </w:rPr>
              <w:t xml:space="preserve">The estimates exclude persons who did not fast for 8 hours or more prior to their blood test. Excludes women with gestational diabetes.</w:t>
            </w:r>
          </w:p>
          <w:p>
            <w:pPr/>
            <w:r>
              <w:rPr>
                <w:rStyle w:val="row-content-rich-text"/>
              </w:rPr>
              <w:t xml:space="preserve">The same definition for diabetes will be used in the NATSIHMS.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per cent compared with 17.6 per cent).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produces high levels of sampling error for some State and Territories when split by sex. Estimates for males and females in Victoria have RSEs greater than 50 per cent and should be considered unreliable for general use. Likewise, estimates for males in the Northern Territory and females in the Australian Capital Territory also have RSEs greater than 50 per cent.</w:t>
            </w:r>
          </w:p>
          <w:p>
            <w:pPr>
              <w:spacing w:after="160"/>
            </w:pPr>
            <w:r>
              <w:rPr>
                <w:rStyle w:val="row-content-rich-text"/>
              </w:rPr>
              <w:t xml:space="preserve">Data for several State and Territories also have RSEs greater than 25 per cent, including the total for Victoria, South Australia. The Australian Capital Territory and the Northern Territory and these estimates should be used with caution.</w:t>
            </w:r>
          </w:p>
          <w:p>
            <w:pPr/>
            <w:r>
              <w:rPr>
                <w:rStyle w:val="row-content-rich-text"/>
              </w:rPr>
              <w:t xml:space="preserve">The RSEs for Remote Australia and SEIFA Quintile 5 are both greater than 25 per cent and should also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diabetes management.</w:t>
            </w:r>
          </w:p>
          <w:p>
            <w:pPr/>
            <w:r>
              <w:rPr>
                <w:rStyle w:val="row-content-rich-text"/>
              </w:rPr>
              <w:t xml:space="preserve">The 2009–10 Victorian Health Monitor (VHM) reported estimates of diabetes management based on the proportion of people with known diabetes meeting the HbA1c management target of less than or equal to 7.0 nmol/L. The VHM age-standardised rate (39 per cent) was similar to the NHMS rate for Victoria (36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a496f6be73432f">
              <w:r>
                <w:rPr>
                  <w:rStyle w:val="Hyperlink"/>
                </w:rPr>
                <w:t xml:space="preserve">National Healthcare Agreement: PI 15-Effective management of diabetes, 2015 QS</w:t>
              </w:r>
            </w:hyperlink>
          </w:p>
          <w:p>
            <w:pPr>
              <w:spacing w:before="0" w:after="0"/>
            </w:pPr>
            <w:r>
              <w:rPr>
                <w:rStyle w:val="row-content"/>
                <w:color w:val="244061"/>
              </w:rPr>
              <w:t xml:space="preserve">       </w:t>
            </w:r>
            <w:hyperlink w:history="true" r:id="R57afeab0df544549">
              <w:r>
                <w:rPr>
                  <w:rStyle w:val="Hyperlink"/>
                  <w:color w:val="244061"/>
                </w:rPr>
                <w:t xml:space="preserve">Health</w:t>
              </w:r>
            </w:hyperlink>
            <w:r>
              <w:rPr>
                <w:rStyle w:val="row-content"/>
                <w:color w:val="244061"/>
              </w:rPr>
              <w:t xml:space="preserve">, Standard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2fc78f93e96440f">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21604b4af8354df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6200fb1e423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555604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790c2bb1c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200fb1e42349d6" /><Relationship Type="http://schemas.openxmlformats.org/officeDocument/2006/relationships/header" Target="/word/header1.xml" Id="Ra279db9e489a4cd1" /><Relationship Type="http://schemas.openxmlformats.org/officeDocument/2006/relationships/settings" Target="/word/settings.xml" Id="R10921529e2624069" /><Relationship Type="http://schemas.openxmlformats.org/officeDocument/2006/relationships/styles" Target="/word/styles.xml" Id="R0ed8613a75b1455d" /><Relationship Type="http://schemas.openxmlformats.org/officeDocument/2006/relationships/hyperlink" Target="https://meteor.aihw.gov.au/RegistrationAuthority/12" TargetMode="External" Id="R4e2cac10b80441e3" /><Relationship Type="http://schemas.openxmlformats.org/officeDocument/2006/relationships/hyperlink" Target="http://www.abs.gov.au/websitedbs/d3310114.nsf/4a256353001af3ed4b2562bb00121564/10ca14cb967e5b83ca2573ae00197b65!OpenDocument" TargetMode="External" Id="R254f0f076bd0448f" /><Relationship Type="http://schemas.openxmlformats.org/officeDocument/2006/relationships/numbering" Target="/word/numbering.xml" Id="R9b867dd636a7482a" /><Relationship Type="http://schemas.openxmlformats.org/officeDocument/2006/relationships/hyperlink" Target="https://meteor.aihw.gov.au/content/559144" TargetMode="External" Id="R94a496f6be73432f" /><Relationship Type="http://schemas.openxmlformats.org/officeDocument/2006/relationships/hyperlink" Target="https://meteor.aihw.gov.au/RegistrationAuthority/12" TargetMode="External" Id="R57afeab0df544549" /><Relationship Type="http://schemas.openxmlformats.org/officeDocument/2006/relationships/hyperlink" Target="https://meteor.aihw.gov.au/content/517654" TargetMode="External" Id="R22fc78f93e96440f" /><Relationship Type="http://schemas.openxmlformats.org/officeDocument/2006/relationships/hyperlink" Target="https://meteor.aihw.gov.au/RegistrationAuthority/12" TargetMode="External" Id="R21604b4af8354dfa" /></Relationships>
</file>

<file path=word/_rels/header1.xml.rels>&#65279;<?xml version="1.0" encoding="utf-8"?><Relationships xmlns="http://schemas.openxmlformats.org/package/2006/relationships"><Relationship Type="http://schemas.openxmlformats.org/officeDocument/2006/relationships/image" Target="/media/image.png" Id="Rdec790c2bb1c411d" /></Relationships>
</file>