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bdf1cd3f843dc" /></Relationships>
</file>

<file path=word/document.xml><?xml version="1.0" encoding="utf-8"?>
<w:document xmlns:r="http://schemas.openxmlformats.org/officeDocument/2006/relationships" xmlns:w="http://schemas.openxmlformats.org/wordprocessingml/2006/main">
  <w:body>
    <w:p>
      <w:pPr>
        <w:pStyle w:val="Title"/>
      </w:pPr>
      <w:r>
        <w:t>Decayed, missing and filled teeth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Decayed, missing and filled teeth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3eeee2fc145e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decayed, missing, filled teeth cluster comprises six data elements that are used together to determine the number of teeth and teeth surfaces in a patient that have been affected by decay. This is known as a measure of the dental </w:t>
            </w:r>
            <w:hyperlink w:tooltip="Dental caries, or dental decay, is a common disease, which causes cavities and discoloration of both permanent and &amp;quot;baby&amp;quot; teeth. As the disease progresses in a tooth it becomes weaker and its nerve may be damaged." w:history="true" r:id="Rbdff9e3e17154396">
              <w:r>
                <w:rPr>
                  <w:rStyle w:val="Hyperlink"/>
                  <w:b/>
                </w:rPr>
                <w:t xml:space="preserve">caries</w:t>
              </w:r>
            </w:hyperlink>
            <w:r>
              <w:rPr>
                <w:rStyle w:val="row-content-rich-text"/>
              </w:rPr>
              <w:t xml:space="preserve"> experience or the dental decay experience. The caries experience describes the number of teeth (or teeth surfaces) that have been affected by decay.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Deciduous or 'baby' teeth or teeth surfaces are affected by decay if they are decayed (d), missing (m) due to decay, or filled (f) due to decay.</w:t>
            </w:r>
          </w:p>
          <w:p>
            <w:pPr>
              <w:spacing w:after="160"/>
            </w:pPr>
            <w:r>
              <w:rPr>
                <w:rStyle w:val="row-content-rich-text"/>
              </w:rPr>
              <w:t xml:space="preserve">Permanent or 'adult' teeth or teeth surfaces are affected by decay if they are decayed (D), missing (M) due to decay, or filled (F) due to decay.</w:t>
            </w:r>
          </w:p>
          <w:p>
            <w:pPr>
              <w:spacing w:after="160"/>
            </w:pPr>
            <w:r>
              <w:rPr>
                <w:rStyle w:val="row-content-rich-text"/>
              </w:rPr>
              <w:t xml:space="preserve">The cluster contains six data elements which, when used in combination, result in a dmft/DMFT (for deciduous/permanent teeth, excluding teeth surfaces) and dmfs/DMFS (for deciduous/permanent teeth surfaces) score for a patient: </w:t>
            </w:r>
            <w:r>
              <w:rPr>
                <w:rStyle w:val="row-content-rich-text"/>
                <w:i/>
              </w:rPr>
              <w:t xml:space="preserve">Patient—impact of decay on teeth, deciduous code a; Patient—impact of decay on teeth, permanent code A; Patient—number of teeth affected by decay, total N[N]; Patient—impact of decay on teeth surfaces, deciduous code a; Patient—impact of decay on teeth surfaces, permanent code A; Patient—number of teeth surfaces affected by decay, total N[N].</w:t>
            </w:r>
          </w:p>
          <w:p>
            <w:pPr>
              <w:spacing w:after="160"/>
            </w:pPr>
            <w:r>
              <w:rPr>
                <w:rStyle w:val="row-content-rich-text"/>
                <w:b/>
              </w:rPr>
              <w:t xml:space="preserve">If child is under 11 years of age:</w:t>
            </w:r>
          </w:p>
          <w:p>
            <w:pPr>
              <w:spacing w:after="160"/>
            </w:pPr>
            <w:r>
              <w:rPr>
                <w:rStyle w:val="row-content-rich-text"/>
              </w:rPr>
              <w:t xml:space="preserve">dmft = deciduous teeth (excluding surfaces) that are decayed (d), missing (m) due to decay, or filled (f) due to decay, and the total of all (dmft);</w:t>
            </w:r>
          </w:p>
          <w:p>
            <w:pPr>
              <w:spacing w:after="160"/>
            </w:pPr>
            <w:r>
              <w:rPr>
                <w:rStyle w:val="row-content-rich-text"/>
              </w:rPr>
              <w:t xml:space="preserve">dmfs = deciduous teeth surfaces that are decayed (d), missing (m) due to decay, or filled (f) due to decay, and the total of all (dmfs).</w:t>
            </w:r>
          </w:p>
          <w:p>
            <w:pPr>
              <w:spacing w:after="160"/>
            </w:pPr>
            <w:r>
              <w:rPr>
                <w:rStyle w:val="row-content-rich-text"/>
                <w:b/>
              </w:rPr>
              <w:t xml:space="preserve">If child is 7 years of age or over:</w:t>
            </w:r>
          </w:p>
          <w:p>
            <w:pPr>
              <w:spacing w:after="160"/>
            </w:pPr>
            <w:r>
              <w:rPr>
                <w:rStyle w:val="row-content-rich-text"/>
              </w:rPr>
              <w:t xml:space="preserve">DMFT = permanent teeth (excluding surfaces) that are decayed (D), missing (M) due to decay, or filled (F) due to decay, and the total of all (DMFT);</w:t>
            </w:r>
          </w:p>
          <w:p>
            <w:pPr>
              <w:spacing w:after="160"/>
            </w:pPr>
            <w:r>
              <w:rPr>
                <w:rStyle w:val="row-content-rich-text"/>
              </w:rPr>
              <w:t xml:space="preserve">DMFS = permanent teeth surfaces that are decayed (D), missing (M) due to decay, or filled (F) due to decay, and the total of all (DMFS).</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350" w:type="pct"/>
                  <w:vAlign w:val="top"/>
                </w:tcPr>
                <w:p>
                  <w:pPr/>
                  <w:r>
                    <w:rPr>
                      <w:rStyle w:val="row-content-rich-text"/>
                    </w:rPr>
                    <w:t xml:space="preserve"> </w:t>
                  </w:r>
                  <w:r>
                    <w:rPr>
                      <w:rStyle w:val="row-content-rich-text"/>
                    </w:rPr>
                    <w:t xml:space="preserve">Deciduous teeth (excluding surfaces)</w:t>
                  </w:r>
                </w:p>
              </w:tc>
              <w:tc>
                <w:tcPr>
                  <w:tcW w:w="200" w:type="pct"/>
                  <w:vAlign w:val="top"/>
                </w:tcPr>
                <w:p>
                  <w:r>
                    <w:t xml:space="preserve">d  </w:t>
                  </w:r>
                </w:p>
              </w:tc>
              <w:tc>
                <w:tcPr>
                  <w:tcW w:w="350" w:type="pct"/>
                  <w:vAlign w:val="top"/>
                </w:tcPr>
                <w:p>
                  <w:r>
                    <w:t xml:space="preserve">N[N]  </w:t>
                  </w:r>
                </w:p>
              </w:tc>
              <w:tc>
                <w:tcPr>
                  <w:tcW w:w="200" w:type="pct"/>
                  <w:vAlign w:val="top"/>
                </w:tcPr>
                <w:p>
                  <w:r>
                    <w:t xml:space="preserve">m  </w:t>
                  </w:r>
                </w:p>
              </w:tc>
              <w:tc>
                <w:tcPr>
                  <w:tcW w:w="350" w:type="pct"/>
                  <w:vAlign w:val="top"/>
                </w:tcPr>
                <w:p>
                  <w:r>
                    <w:t xml:space="preserve">N[N]  </w:t>
                  </w:r>
                </w:p>
              </w:tc>
              <w:tc>
                <w:tcPr>
                  <w:tcW w:w="200" w:type="pct"/>
                  <w:vAlign w:val="top"/>
                </w:tcPr>
                <w:p>
                  <w:r>
                    <w:t xml:space="preserve">f  </w:t>
                  </w:r>
                </w:p>
              </w:tc>
              <w:tc>
                <w:tcPr>
                  <w:tcW w:w="350" w:type="pct"/>
                  <w:vAlign w:val="top"/>
                </w:tcPr>
                <w:p>
                  <w:r>
                    <w:t xml:space="preserve">N[N]  </w:t>
                  </w:r>
                </w:p>
              </w:tc>
              <w:tc>
                <w:tcPr>
                  <w:tcW w:w="350" w:type="pct"/>
                  <w:vAlign w:val="top"/>
                </w:tcPr>
                <w:p>
                  <w:r>
                    <w:t xml:space="preserve">dmft</w:t>
                  </w:r>
                </w:p>
              </w:tc>
              <w:tc>
                <w:tcPr>
                  <w:tcW w:w="350" w:type="pct"/>
                  <w:vAlign w:val="top"/>
                </w:tcPr>
                <w:p>
                  <w:r>
                    <w:t xml:space="preserve">N[N]  </w:t>
                  </w:r>
                </w:p>
              </w:tc>
            </w:tr>
            <w:tr>
              <w:trPr/>
              <w:tc>
                <w:tcPr>
                  <w:tcW w:w="2350" w:type="pct"/>
                  <w:vAlign w:val="top"/>
                </w:tcPr>
                <w:p>
                  <w:r>
                    <w:t xml:space="preserve">Permanent teeth (excluding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DMFT  </w:t>
                  </w:r>
                </w:p>
              </w:tc>
              <w:tc>
                <w:tcPr>
                  <w:tcW w:w="350" w:type="pct"/>
                  <w:vAlign w:val="top"/>
                </w:tcPr>
                <w:p>
                  <w:r>
                    <w:t xml:space="preserve">N[N]</w:t>
                  </w:r>
                </w:p>
              </w:tc>
            </w:tr>
            <w:tr>
              <w:trPr/>
              <w:tc>
                <w:tcPr>
                  <w:tcW w:w="2350" w:type="pct"/>
                  <w:vAlign w:val="top"/>
                </w:tcPr>
                <w:p>
                  <w:r>
                    <w:t xml:space="preserve">Deciduous teeth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dmfs</w:t>
                  </w:r>
                </w:p>
              </w:tc>
              <w:tc>
                <w:tcPr>
                  <w:tcW w:w="350" w:type="pct"/>
                  <w:vAlign w:val="top"/>
                </w:tcPr>
                <w:p>
                  <w:r>
                    <w:t xml:space="preserve">N[N]</w:t>
                  </w:r>
                </w:p>
              </w:tc>
            </w:tr>
            <w:tr>
              <w:trPr/>
              <w:tc>
                <w:tcPr>
                  <w:tcW w:w="2350" w:type="pct"/>
                  <w:vAlign w:val="top"/>
                </w:tcPr>
                <w:p>
                  <w:r>
                    <w:t xml:space="preserve">Permanent teeth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DMFS</w:t>
                  </w:r>
                </w:p>
              </w:tc>
              <w:tc>
                <w:tcPr>
                  <w:tcW w:w="350" w:type="pct"/>
                  <w:vAlign w:val="top"/>
                </w:tcPr>
                <w:p>
                  <w:r>
                    <w:t xml:space="preserve">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02eeb57fa044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645b463cf477d">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d2f2ce30fc3f4cf9">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c83c51b28af4e0c">
                    <w:r>
                      <w:rPr>
                        <w:rStyle w:val="Hyperlink"/>
                      </w:rPr>
                      <w:t xml:space="preserve">Patient—result of caries experience on teeth,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70cb7710cf549e6">
                    <w:r>
                      <w:rPr>
                        <w:rStyle w:val="Hyperlink"/>
                      </w:rPr>
                      <w:t xml:space="preserve">Patient—result of caries experience on teeth,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0860b9f7bb4a32">
                    <w:r>
                      <w:rPr>
                        <w:rStyle w:val="Hyperlink"/>
                      </w:rPr>
                      <w:t xml:space="preserve">Patient—number of teeth affected by caries, total N[N]</w:t>
                    </w:r>
                  </w:hyperlink>
                </w:p>
                <w:p>
                  <w:r>
                    <w:rPr>
                      <w:b/>
                      <w:i/>
                      <w:color w:val="333333"/>
                    </w:rPr>
                    <w:t xml:space="preserve">DSS specific information:</w:t>
                  </w:r>
                </w:p>
                <w:p>
                  <w:r>
                    <w:t xml:space="preserve">First occurrence is for the total of deciduous teeth (dmft) and the second occurrence is for total of permanent teeth (DMFT).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bc49f3d15546df">
                    <w:r>
                      <w:rPr>
                        <w:rStyle w:val="Hyperlink"/>
                      </w:rPr>
                      <w:t xml:space="preserve">Patient—result of caries experience on teeth surfaces,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9801622e714ff9">
                    <w:r>
                      <w:rPr>
                        <w:rStyle w:val="Hyperlink"/>
                      </w:rPr>
                      <w:t xml:space="preserve">Patient—result of caries experience on teeth surfaces,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25f6fe337d4467e">
                    <w:r>
                      <w:rPr>
                        <w:rStyle w:val="Hyperlink"/>
                      </w:rPr>
                      <w:t xml:space="preserve">Patient—number of teeth surfaces affected by caries, total N[N]</w:t>
                    </w:r>
                  </w:hyperlink>
                </w:p>
                <w:p>
                  <w:r>
                    <w:rPr>
                      <w:b/>
                      <w:i/>
                      <w:color w:val="333333"/>
                    </w:rPr>
                    <w:t xml:space="preserve">Conditional obligation:</w:t>
                  </w:r>
                </w:p>
                <w:p>
                  <w:r>
                    <w:t xml:space="preserve">First occurrence is for the total of deciduous teeth surfaces (dmfs) and the second occurrence is for the total of permanent teeth surfaces (DMFS).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189489fbee98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553034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5f9ae8a93b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489fbee9843d8" /><Relationship Type="http://schemas.openxmlformats.org/officeDocument/2006/relationships/header" Target="/word/header1.xml" Id="R91a4424aa2524b4c" /><Relationship Type="http://schemas.openxmlformats.org/officeDocument/2006/relationships/settings" Target="/word/settings.xml" Id="R7b60d68fc5c74583" /><Relationship Type="http://schemas.openxmlformats.org/officeDocument/2006/relationships/styles" Target="/word/styles.xml" Id="Ra124ef66203d498f" /><Relationship Type="http://schemas.openxmlformats.org/officeDocument/2006/relationships/hyperlink" Target="https://meteor.aihw.gov.au/RegistrationAuthority/6" TargetMode="External" Id="Rb0f3eeee2fc145ed" /><Relationship Type="http://schemas.openxmlformats.org/officeDocument/2006/relationships/hyperlink" Target="https://meteor.aihw.gov.au/content/551229" TargetMode="External" Id="Rbdff9e3e17154396" /><Relationship Type="http://schemas.openxmlformats.org/officeDocument/2006/relationships/hyperlink" Target="https://meteor.aihw.gov.au/content/246013" TargetMode="External" Id="Rab02eeb57fa04491" /><Relationship Type="http://schemas.openxmlformats.org/officeDocument/2006/relationships/hyperlink" Target="https://meteor.aihw.gov.au/content/496216" TargetMode="External" Id="R80e645b463cf477d" /><Relationship Type="http://schemas.openxmlformats.org/officeDocument/2006/relationships/hyperlink" Target="https://meteor.aihw.gov.au/RegistrationAuthority/6" TargetMode="External" Id="Rd2f2ce30fc3f4cf9" /><Relationship Type="http://schemas.openxmlformats.org/officeDocument/2006/relationships/hyperlink" Target="https://meteor.aihw.gov.au/content/505722" TargetMode="External" Id="R0c83c51b28af4e0c" /><Relationship Type="http://schemas.openxmlformats.org/officeDocument/2006/relationships/hyperlink" Target="https://meteor.aihw.gov.au/content/505744" TargetMode="External" Id="R270cb7710cf549e6" /><Relationship Type="http://schemas.openxmlformats.org/officeDocument/2006/relationships/hyperlink" Target="https://meteor.aihw.gov.au/content/500127" TargetMode="External" Id="Rfc0860b9f7bb4a32" /><Relationship Type="http://schemas.openxmlformats.org/officeDocument/2006/relationships/hyperlink" Target="https://meteor.aihw.gov.au/content/505746" TargetMode="External" Id="R32bc49f3d15546df" /><Relationship Type="http://schemas.openxmlformats.org/officeDocument/2006/relationships/hyperlink" Target="https://meteor.aihw.gov.au/content/505749" TargetMode="External" Id="R7c9801622e714ff9" /><Relationship Type="http://schemas.openxmlformats.org/officeDocument/2006/relationships/hyperlink" Target="https://meteor.aihw.gov.au/content/500164" TargetMode="External" Id="R225f6fe337d4467e" /></Relationships>
</file>

<file path=word/_rels/header1.xml.rels>&#65279;<?xml version="1.0" encoding="utf-8"?><Relationships xmlns="http://schemas.openxmlformats.org/package/2006/relationships"><Relationship Type="http://schemas.openxmlformats.org/officeDocument/2006/relationships/image" Target="/media/image.png" Id="R375f9ae8a93b42d7" /></Relationships>
</file>