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da0b3ea6e426e"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27915300844e1">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w:t>
                  </w:r>
                </w:p>
              </w:tc>
              <w:tc>
                <w:tcPr>
                  <w:tcW w:w="1000" w:type="pct"/>
                  <w:vAlign w:val="top"/>
                </w:tcPr>
                <w:p>
                  <w:r>
                    <w:t xml:space="preserve">N(8)</w:t>
                  </w:r>
                </w:p>
              </w:tc>
            </w:tr>
            <w:tr>
              <w:trPr/>
              <w:tc>
                <w:tcPr>
                  <w:tcW w:w="4000" w:type="pct"/>
                  <w:vAlign w:val="top"/>
                </w:tcPr>
                <w:p>
                  <w:r>
                    <w:t xml:space="preserve">Admitted subacute</w:t>
                  </w:r>
                </w:p>
              </w:tc>
              <w:tc>
                <w:tcPr>
                  <w:tcW w:w="1000" w:type="pct"/>
                  <w:vAlign w:val="top"/>
                </w:tcPr>
                <w:p>
                  <w:r>
                    <w:t xml:space="preserve">N(8)</w:t>
                  </w:r>
                </w:p>
              </w:tc>
            </w:tr>
            <w:tr>
              <w:trPr/>
              <w:tc>
                <w:tcPr>
                  <w:tcW w:w="4000" w:type="pct"/>
                  <w:vAlign w:val="top"/>
                </w:tcPr>
                <w:p>
                  <w:r>
                    <w:t xml:space="preserve">Other admitted</w:t>
                  </w:r>
                </w:p>
              </w:tc>
              <w:tc>
                <w:tcPr>
                  <w:tcW w:w="1000" w:type="pct"/>
                  <w:vAlign w:val="top"/>
                </w:tcPr>
                <w:p>
                  <w:r>
                    <w:t xml:space="preserve">N(8)</w:t>
                  </w:r>
                </w:p>
              </w:tc>
            </w:tr>
            <w:tr>
              <w:trPr/>
              <w:tc>
                <w:tcPr>
                  <w:tcW w:w="4000" w:type="pct"/>
                  <w:vAlign w:val="top"/>
                </w:tcPr>
                <w:p>
                  <w:r>
                    <w:t xml:space="preserve">Emergency care services</w:t>
                  </w:r>
                </w:p>
              </w:tc>
              <w:tc>
                <w:tcPr>
                  <w:tcW w:w="1000" w:type="pct"/>
                  <w:vAlign w:val="top"/>
                </w:tcPr>
                <w:p>
                  <w:r>
                    <w:t xml:space="preserve">N(8)</w:t>
                  </w:r>
                </w:p>
              </w:tc>
            </w:tr>
            <w:tr>
              <w:trPr/>
              <w:tc>
                <w:tcPr>
                  <w:tcW w:w="4000" w:type="pct"/>
                  <w:vAlign w:val="top"/>
                </w:tcPr>
                <w:p>
                  <w:r>
                    <w:t xml:space="preserve">Non-admitted (in scope for NHRA) </w:t>
                  </w:r>
                </w:p>
              </w:tc>
              <w:tc>
                <w:tcPr>
                  <w:tcW w:w="1000" w:type="pct"/>
                  <w:vAlign w:val="top"/>
                </w:tcPr>
                <w:p>
                  <w:r>
                    <w:t xml:space="preserve">N(8)</w:t>
                  </w:r>
                </w:p>
              </w:tc>
            </w:tr>
            <w:tr>
              <w:trPr/>
              <w:tc>
                <w:tcPr>
                  <w:tcW w:w="4000" w:type="pct"/>
                  <w:vAlign w:val="top"/>
                </w:tcPr>
                <w:p>
                  <w:r>
                    <w:t xml:space="preserve">Direct teaching, training and research</w:t>
                  </w:r>
                </w:p>
              </w:tc>
              <w:tc>
                <w:tcPr>
                  <w:tcW w:w="1000" w:type="pct"/>
                  <w:vAlign w:val="top"/>
                </w:tcPr>
                <w:p>
                  <w:r>
                    <w:t xml:space="preserve">N(8)</w:t>
                  </w:r>
                </w:p>
              </w:tc>
            </w:tr>
            <w:tr>
              <w:trPr/>
              <w:tc>
                <w:tcPr>
                  <w:tcW w:w="4000" w:type="pct"/>
                  <w:vAlign w:val="top"/>
                </w:tcPr>
                <w:p>
                  <w:r>
                    <w:t xml:space="preserve">Commonwealth funded aged care</w:t>
                  </w:r>
                </w:p>
              </w:tc>
              <w:tc>
                <w:tcPr>
                  <w:tcW w:w="1000" w:type="pct"/>
                  <w:vAlign w:val="top"/>
                </w:tcPr>
                <w:p>
                  <w:r>
                    <w:t xml:space="preserve">N(8)</w:t>
                  </w:r>
                </w:p>
              </w:tc>
            </w:tr>
            <w:tr>
              <w:trPr/>
              <w:tc>
                <w:tcPr>
                  <w:tcW w:w="4000" w:type="pct"/>
                  <w:vAlign w:val="top"/>
                </w:tcPr>
                <w:p>
                  <w:r>
                    <w:t xml:space="preserve">Other aged care</w:t>
                  </w:r>
                </w:p>
              </w:tc>
              <w:tc>
                <w:tcPr>
                  <w:tcW w:w="1000" w:type="pct"/>
                  <w:vAlign w:val="top"/>
                </w:tcPr>
                <w:p>
                  <w:r>
                    <w:t xml:space="preserve">N(8)</w:t>
                  </w:r>
                </w:p>
              </w:tc>
            </w:tr>
            <w:tr>
              <w:trPr/>
              <w:tc>
                <w:tcPr>
                  <w:tcW w:w="4000" w:type="pct"/>
                  <w:vAlign w:val="top"/>
                </w:tcPr>
                <w:p>
                  <w:r>
                    <w:t xml:space="preserve">Non-admitted (out of scope for NHRA)</w:t>
                  </w:r>
                </w:p>
              </w:tc>
              <w:tc>
                <w:tcPr>
                  <w:tcW w:w="1000" w:type="pct"/>
                  <w:vAlign w:val="top"/>
                </w:tcPr>
                <w:p>
                  <w:r>
                    <w:t xml:space="preserve">N(8)</w:t>
                  </w:r>
                </w:p>
              </w:tc>
            </w:tr>
            <w:tr>
              <w:trPr/>
              <w:tc>
                <w:tcPr>
                  <w:tcW w:w="4000" w:type="pct"/>
                  <w:vAlign w:val="top"/>
                </w:tcPr>
                <w:p>
                  <w:r>
                    <w:t xml:space="preserve">Other (out of scope for NHRA)</w:t>
                  </w:r>
                </w:p>
              </w:tc>
              <w:tc>
                <w:tcPr>
                  <w:tcW w:w="1000" w:type="pct"/>
                  <w:vAlign w:val="top"/>
                </w:tcPr>
                <w:p>
                  <w:r>
                    <w:t xml:space="preserve">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c2331e7ade4460">
              <w:r>
                <w:rPr>
                  <w:rStyle w:val="Hyperlink"/>
                </w:rPr>
                <w:t xml:space="preserve">Recurrent contracted care expenditure data element cluster</w:t>
              </w:r>
            </w:hyperlink>
          </w:p>
          <w:p>
            <w:pPr>
              <w:pStyle w:val="registration-status"/>
              <w:spacing w:before="0" w:after="0"/>
            </w:pPr>
            <w:hyperlink w:history="true" r:id="Rfa057473078d478e">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62a61fff04cb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c806b4fa84710">
                    <w:r>
                      <w:rPr>
                        <w:rStyle w:val="Hyperlink"/>
                      </w:rPr>
                      <w:t xml:space="preserve">Establishment—recurrent contracted care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ee8ece2fd07f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d70876824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ece2fd07f4e80" /><Relationship Type="http://schemas.openxmlformats.org/officeDocument/2006/relationships/header" Target="/word/header1.xml" Id="R675fa49990a44a4b" /><Relationship Type="http://schemas.openxmlformats.org/officeDocument/2006/relationships/settings" Target="/word/settings.xml" Id="R6a5aa7c91d77431b" /><Relationship Type="http://schemas.openxmlformats.org/officeDocument/2006/relationships/styles" Target="/word/styles.xml" Id="Rf251a2d019bc4f57" /><Relationship Type="http://schemas.openxmlformats.org/officeDocument/2006/relationships/hyperlink" Target="https://meteor.aihw.gov.au/RegistrationAuthority/12" TargetMode="External" Id="R13827915300844e1" /><Relationship Type="http://schemas.openxmlformats.org/officeDocument/2006/relationships/hyperlink" Target="https://meteor.aihw.gov.au/content/608231" TargetMode="External" Id="R00c2331e7ade4460" /><Relationship Type="http://schemas.openxmlformats.org/officeDocument/2006/relationships/hyperlink" Target="https://meteor.aihw.gov.au/RegistrationAuthority/12" TargetMode="External" Id="Rfa057473078d478e" /><Relationship Type="http://schemas.openxmlformats.org/officeDocument/2006/relationships/hyperlink" Target="https://meteor.aihw.gov.au/content/552598" TargetMode="External" Id="R79562a61fff04cba" /><Relationship Type="http://schemas.openxmlformats.org/officeDocument/2006/relationships/hyperlink" Target="https://meteor.aihw.gov.au/content/552596" TargetMode="External" Id="R6bfc806b4fa84710" /></Relationships>
</file>

<file path=word/_rels/header1.xml.rels>&#65279;<?xml version="1.0" encoding="utf-8"?><Relationships xmlns="http://schemas.openxmlformats.org/package/2006/relationships"><Relationship Type="http://schemas.openxmlformats.org/officeDocument/2006/relationships/image" Target="/media/image.png" Id="Rfc3d708768244ba7" /></Relationships>
</file>