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f1f6a3d83f44d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Number of selected potentially avoidable hospitalisations per 100,000 people,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Number of selected potentially avoidable hospitalisations per 100,000 people,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Potentially avoidable hospitalisations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549587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32d416b5b43c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potentially avoidable hospitalisations per 100,000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9d21c3590b46d7">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ead46ae60cd240d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except for influenza and pneumonia for which people under the age of two months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Table 1: Classification of selected potentially avoidable hospitalisations</w:t>
            </w:r>
          </w:p>
          <w:tbl>
            <w:tblPr>
              <w:tblStyle w:val="TableGrid"/>
              <w:tblW w:w="5000" w:type="pct"/>
              <w:tblLayout w:type="autofit"/>
            </w:tblPr>
            <w:tblGrid>
              <w:gridCol/>
              <w:gridCol/>
              <w:gridCol/>
            </w:tblGrid>
            <w:tr>
              <w:trPr/>
              <w:tc>
                <w:tcPr>
                  <w:tcW w:w="1050" w:type="pct"/>
                  <w:vAlign w:val="top"/>
                </w:tcPr>
                <w:p>
                  <w:pPr/>
                  <w:r>
                    <w:rPr>
                      <w:rStyle w:val="row-content-rich-text"/>
                      <w:b/>
                    </w:rPr>
                    <w:t xml:space="preserve">Type/condition</w:t>
                  </w:r>
                </w:p>
              </w:tc>
              <w:tc>
                <w:tcPr>
                  <w:tcW w:w="1400" w:type="pct"/>
                  <w:vAlign w:val="top"/>
                </w:tcPr>
                <w:p>
                  <w:r>
                    <w:rPr>
                      <w:b/>
                    </w:rPr>
                    <w:t xml:space="preserve">ICD-10-AM 7th edition codes</w:t>
                  </w:r>
                </w:p>
              </w:tc>
              <w:tc>
                <w:tcPr>
                  <w:tcW w:w="2500" w:type="pct"/>
                  <w:vAlign w:val="top"/>
                </w:tcPr>
                <w:p>
                  <w:r>
                    <w:rPr>
                      <w:b/>
                    </w:rPr>
                    <w:t xml:space="preserve">Further selection information</w:t>
                  </w:r>
                </w:p>
              </w:tc>
            </w:tr>
            <w:tr>
              <w:trPr/>
              <w:tc>
                <w:tcPr>
                  <w:tcW w:w="1050" w:type="pct"/>
                  <w:gridSpan w:val="3"/>
                  <w:vAlign w:val="top"/>
                </w:tcPr>
                <w:p>
                  <w:r>
                    <w:rPr>
                      <w:b/>
                    </w:rPr>
                    <w:t xml:space="preserve">Chronic </w:t>
                  </w:r>
                </w:p>
              </w:tc>
            </w:tr>
            <w:tr>
              <w:trPr/>
              <w:tc>
                <w:tcPr>
                  <w:tcW w:w="1050" w:type="pct"/>
                  <w:vAlign w:val="top"/>
                </w:tcPr>
                <w:p>
                  <w:r>
                    <w:t xml:space="preserve">Asthma</w:t>
                  </w:r>
                </w:p>
              </w:tc>
              <w:tc>
                <w:tcPr>
                  <w:tcW w:w="1400" w:type="pct"/>
                  <w:vAlign w:val="top"/>
                </w:tcPr>
                <w:p>
                  <w:r>
                    <w:t xml:space="preserve">J45, J46</w:t>
                  </w:r>
                </w:p>
              </w:tc>
              <w:tc>
                <w:tcPr>
                  <w:tcW w:w="2500" w:type="pct"/>
                  <w:vAlign w:val="top"/>
                </w:tcPr>
                <w:p>
                  <w:r>
                    <w:t xml:space="preserve">Principal diagnosis only</w:t>
                  </w:r>
                </w:p>
              </w:tc>
            </w:tr>
            <w:tr>
              <w:trPr/>
              <w:tc>
                <w:tcPr>
                  <w:tcW w:w="1050" w:type="pct"/>
                  <w:vAlign w:val="top"/>
                </w:tcPr>
                <w:p>
                  <w:r>
                    <w:t xml:space="preserve">Congestive cardiac failure</w:t>
                  </w:r>
                </w:p>
              </w:tc>
              <w:tc>
                <w:tcPr>
                  <w:tcW w:w="1400" w:type="pct"/>
                  <w:vAlign w:val="top"/>
                </w:tcPr>
                <w:p>
                  <w:r>
                    <w:t xml:space="preserve">I50, I11.0, J81</w:t>
                  </w:r>
                </w:p>
              </w:tc>
              <w:tc>
                <w:tcPr>
                  <w:tcW w:w="2500" w:type="pct"/>
                  <w:vAlign w:val="top"/>
                </w:tcPr>
                <w:p>
                  <w:r>
                    <w:t xml:space="preserve">Principal diagnosis only; exclude cases with the following procedure codes: 33172-00, 38300-00, 38303-00, 38306-02, 38306-00, 38353-02, 38353-00, 38350-00, 38368-00, 38256-00, 38350-02, 38358-00, 38358-01, 38358-02, 38368-02, 38654-02, 38456-26, 38456-27, 38368-04, 38358-03, 38654-05, 38456-33, 38456-34, 38270-01, 38456-19, 38456-15, 38456-12, 38456-11, 38456-10, 90203-00, 38456-01, 38470-00, 38475-00, 38480-02, 38480-01, 38480-00, 38488-06, 38488-04, 38489-04, 38488-02, 38489-03, 38487-00, 38489-02, 38488-00, 38489-00, 38490-00, 38493-00, 38497-04, 38497-03, 38497-02, 38497-01, 38497-00, 38500-00, 38503-00, 38505-00, 38362-00, 90203-08, 90203-09, 38456-28, 38612-00, 38615-00, 38653-00, 38700-02, 38700-00, 38739-00, 38742-02, 38742-00, 38745-00, 38751-02, 38751-00, 38757-02, 38757-01, 38757-00, 90204-00, 90205-00, 90219-00, 90224-00</w:t>
                  </w:r>
                </w:p>
              </w:tc>
            </w:tr>
            <w:tr>
              <w:trPr/>
              <w:tc>
                <w:tcPr>
                  <w:tcW w:w="1050" w:type="pct"/>
                  <w:vAlign w:val="top"/>
                </w:tcPr>
                <w:p>
                  <w:r>
                    <w:t xml:space="preserve">Diabetes complications</w:t>
                  </w:r>
                </w:p>
              </w:tc>
              <w:tc>
                <w:tcPr>
                  <w:tcW w:w="1400" w:type="pct"/>
                  <w:vAlign w:val="top"/>
                </w:tcPr>
                <w:p>
                  <w:r>
                    <w:t xml:space="preserve">E10–E14.9</w:t>
                  </w:r>
                </w:p>
              </w:tc>
              <w:tc>
                <w:tcPr>
                  <w:tcW w:w="2500" w:type="pct"/>
                  <w:vAlign w:val="top"/>
                </w:tcPr>
                <w:p>
                  <w:r>
                    <w:t xml:space="preserve">Principal diagnosis only</w:t>
                  </w:r>
                </w:p>
              </w:tc>
            </w:tr>
            <w:tr>
              <w:trPr/>
              <w:tc>
                <w:tcPr>
                  <w:tcW w:w="1050" w:type="pct"/>
                  <w:vAlign w:val="top"/>
                </w:tcPr>
                <w:p>
                  <w:r>
                    <w:t xml:space="preserve">Chronic obstructive pulmonary disease (COPD)</w:t>
                  </w:r>
                </w:p>
              </w:tc>
              <w:tc>
                <w:tcPr>
                  <w:tcW w:w="1400" w:type="pct"/>
                  <w:vAlign w:val="top"/>
                </w:tcPr>
                <w:p>
                  <w:r>
                    <w:t xml:space="preserve">J20, J41, J42, J43, J44, J47</w:t>
                  </w:r>
                </w:p>
              </w:tc>
              <w:tc>
                <w:tcPr>
                  <w:tcW w:w="2500" w:type="pct"/>
                  <w:vAlign w:val="top"/>
                </w:tcPr>
                <w:p>
                  <w:r>
                    <w:t xml:space="preserve">Principal diagnosis only;  J20 only with additional diagnoses of J41, J42, J43, J44, J47</w:t>
                  </w:r>
                </w:p>
              </w:tc>
            </w:tr>
            <w:tr>
              <w:trPr/>
              <w:tc>
                <w:tcPr>
                  <w:tcW w:w="1050" w:type="pct"/>
                  <w:vAlign w:val="top"/>
                </w:tcPr>
                <w:p>
                  <w:r>
                    <w:t xml:space="preserve">Angina</w:t>
                  </w:r>
                </w:p>
              </w:tc>
              <w:tc>
                <w:tcPr>
                  <w:tcW w:w="1400" w:type="pct"/>
                  <w:vAlign w:val="top"/>
                </w:tcPr>
                <w:p>
                  <w:r>
                    <w:t xml:space="preserve">I20, I24.0, I24.8, I24.9</w:t>
                  </w:r>
                </w:p>
              </w:tc>
              <w:tc>
                <w:tcPr>
                  <w:tcW w:w="2500" w:type="pct"/>
                  <w:vAlign w:val="top"/>
                </w:tcPr>
                <w:p>
                  <w:r>
                    <w:t xml:space="preserve">Principal diagnosis only; exclude cases with procedure codes not in blocks [1820] to [2016]</w:t>
                  </w:r>
                </w:p>
              </w:tc>
            </w:tr>
            <w:tr>
              <w:trPr/>
              <w:tc>
                <w:tcPr>
                  <w:tcW w:w="1050" w:type="pct"/>
                  <w:vAlign w:val="top"/>
                </w:tcPr>
                <w:p>
                  <w:r>
                    <w:t xml:space="preserve">Iron deficiency anaemia</w:t>
                  </w:r>
                </w:p>
              </w:tc>
              <w:tc>
                <w:tcPr>
                  <w:tcW w:w="1400" w:type="pct"/>
                  <w:vAlign w:val="top"/>
                </w:tcPr>
                <w:p>
                  <w:r>
                    <w:t xml:space="preserve">D50.1, D50.8, D50.9</w:t>
                  </w:r>
                </w:p>
              </w:tc>
              <w:tc>
                <w:tcPr>
                  <w:tcW w:w="2500" w:type="pct"/>
                  <w:vAlign w:val="top"/>
                </w:tcPr>
                <w:p>
                  <w:r>
                    <w:t xml:space="preserve">Principal diagnosis only</w:t>
                  </w:r>
                </w:p>
              </w:tc>
            </w:tr>
            <w:tr>
              <w:trPr/>
              <w:tc>
                <w:tcPr>
                  <w:tcW w:w="1050" w:type="pct"/>
                  <w:vAlign w:val="top"/>
                </w:tcPr>
                <w:p>
                  <w:r>
                    <w:t xml:space="preserve">Hypertension</w:t>
                  </w:r>
                </w:p>
              </w:tc>
              <w:tc>
                <w:tcPr>
                  <w:tcW w:w="1400" w:type="pct"/>
                  <w:vAlign w:val="top"/>
                </w:tcPr>
                <w:p>
                  <w:r>
                    <w:t xml:space="preserve">I10, I11.9</w:t>
                  </w:r>
                </w:p>
              </w:tc>
              <w:tc>
                <w:tcPr>
                  <w:tcW w:w="2500" w:type="pct"/>
                  <w:vAlign w:val="top"/>
                </w:tcPr>
                <w:p>
                  <w:r>
                    <w:t xml:space="preserve">Principal diagnosis only; exclude cases with procedure codes according to the list of procedures excluded from the Congestive cardiac failure category above</w:t>
                  </w:r>
                </w:p>
              </w:tc>
            </w:tr>
            <w:tr>
              <w:trPr/>
              <w:tc>
                <w:tcPr>
                  <w:tcW w:w="1050" w:type="pct"/>
                  <w:vAlign w:val="top"/>
                </w:tcPr>
                <w:p>
                  <w:r>
                    <w:t xml:space="preserve">Nutritional deficiencies</w:t>
                  </w:r>
                </w:p>
              </w:tc>
              <w:tc>
                <w:tcPr>
                  <w:tcW w:w="1400" w:type="pct"/>
                  <w:vAlign w:val="top"/>
                </w:tcPr>
                <w:p>
                  <w:r>
                    <w:t xml:space="preserve">E40, E41, E42, E43, E55.0, E64.3</w:t>
                  </w:r>
                </w:p>
              </w:tc>
              <w:tc>
                <w:tcPr>
                  <w:tcW w:w="2500" w:type="pct"/>
                  <w:vAlign w:val="top"/>
                </w:tcPr>
                <w:p>
                  <w:r>
                    <w:t xml:space="preserve">Principal diagnosis only</w:t>
                  </w:r>
                </w:p>
              </w:tc>
            </w:tr>
            <w:tr>
              <w:trPr/>
              <w:tc>
                <w:tcPr>
                  <w:tcW w:w="1050" w:type="pct"/>
                  <w:vAlign w:val="top"/>
                </w:tcPr>
                <w:p>
                  <w:r>
                    <w:t xml:space="preserve">Rheumatic heart disease</w:t>
                  </w:r>
                  <w:r>
                    <w:rPr>
                      <w:vertAlign w:val="superscript"/>
                    </w:rPr>
                    <w:t xml:space="preserve">*</w:t>
                  </w:r>
                </w:p>
              </w:tc>
              <w:tc>
                <w:tcPr>
                  <w:tcW w:w="1400" w:type="pct"/>
                  <w:vAlign w:val="top"/>
                </w:tcPr>
                <w:p>
                  <w:r>
                    <w:t xml:space="preserve">I00 to I09</w:t>
                  </w:r>
                </w:p>
              </w:tc>
              <w:tc>
                <w:tcPr>
                  <w:tcW w:w="2500" w:type="pct"/>
                  <w:vAlign w:val="top"/>
                </w:tcPr>
                <w:p>
                  <w:r>
                    <w:t xml:space="preserve">Principal diagnosis only</w:t>
                  </w:r>
                </w:p>
              </w:tc>
            </w:tr>
            <w:tr>
              <w:trPr/>
              <w:tc>
                <w:tcPr>
                  <w:tcW w:w="1050" w:type="pct"/>
                  <w:gridSpan w:val="3"/>
                  <w:vAlign w:val="top"/>
                </w:tcPr>
                <w:p>
                  <w:r>
                    <w:rPr>
                      <w:b/>
                    </w:rPr>
                    <w:t xml:space="preserve">Acute </w:t>
                  </w:r>
                </w:p>
              </w:tc>
            </w:tr>
            <w:tr>
              <w:trPr/>
              <w:tc>
                <w:tcPr>
                  <w:tcW w:w="1050" w:type="pct"/>
                  <w:vAlign w:val="top"/>
                </w:tcPr>
                <w:p>
                  <w:r>
                    <w:t xml:space="preserve">Dehydration and gastroenteritis</w:t>
                  </w:r>
                </w:p>
              </w:tc>
              <w:tc>
                <w:tcPr>
                  <w:tcW w:w="1400" w:type="pct"/>
                  <w:vAlign w:val="top"/>
                </w:tcPr>
                <w:p>
                  <w:r>
                    <w:t xml:space="preserve">A09.9, E86, K52.2, K52.8, K52.9</w:t>
                  </w:r>
                </w:p>
              </w:tc>
              <w:tc>
                <w:tcPr>
                  <w:tcW w:w="2500" w:type="pct"/>
                  <w:vAlign w:val="top"/>
                </w:tcPr>
                <w:p>
                  <w:r>
                    <w:t xml:space="preserve">Principal diagnosis only</w:t>
                  </w:r>
                </w:p>
              </w:tc>
            </w:tr>
            <w:tr>
              <w:trPr/>
              <w:tc>
                <w:tcPr>
                  <w:tcW w:w="1050" w:type="pct"/>
                  <w:vAlign w:val="top"/>
                </w:tcPr>
                <w:p>
                  <w:r>
                    <w:t xml:space="preserve">Pyelonephritis</w:t>
                  </w:r>
                </w:p>
              </w:tc>
              <w:tc>
                <w:tcPr>
                  <w:tcW w:w="1400" w:type="pct"/>
                  <w:vAlign w:val="top"/>
                </w:tcPr>
                <w:p>
                  <w:r>
                    <w:t xml:space="preserve">N10, N11, N12, N13.6, N39.0</w:t>
                  </w:r>
                </w:p>
              </w:tc>
              <w:tc>
                <w:tcPr>
                  <w:tcW w:w="2500" w:type="pct"/>
                  <w:vAlign w:val="top"/>
                </w:tcPr>
                <w:p>
                  <w:r>
                    <w:t xml:space="preserve">Principal diagnosis only</w:t>
                  </w:r>
                </w:p>
              </w:tc>
            </w:tr>
            <w:tr>
              <w:trPr/>
              <w:tc>
                <w:tcPr>
                  <w:tcW w:w="1050" w:type="pct"/>
                  <w:vAlign w:val="top"/>
                </w:tcPr>
                <w:p>
                  <w:r>
                    <w:t xml:space="preserve">Perforated/bleeding ulcer</w:t>
                  </w:r>
                </w:p>
              </w:tc>
              <w:tc>
                <w:tcPr>
                  <w:tcW w:w="1400" w:type="pct"/>
                  <w:vAlign w:val="top"/>
                </w:tcPr>
                <w:p>
                  <w:r>
                    <w:t xml:space="preserve">K25.0, K25.1, K25.2, K25.4, K25.5, K25.6, K26.0, K26.1, K26.2, K26.4, K26.5, K26.6, K27.0, K27.1, K27.2, K27.4, K27.5, K27.6, K28.0, K28.1, K28.2, K28.4, K28.5, K28.6</w:t>
                  </w:r>
                </w:p>
              </w:tc>
              <w:tc>
                <w:tcPr>
                  <w:tcW w:w="2500" w:type="pct"/>
                  <w:vAlign w:val="top"/>
                </w:tcPr>
                <w:p>
                  <w:r>
                    <w:t xml:space="preserve">Principal diagnosis only</w:t>
                  </w:r>
                </w:p>
              </w:tc>
            </w:tr>
            <w:tr>
              <w:trPr/>
              <w:tc>
                <w:tcPr>
                  <w:tcW w:w="1050" w:type="pct"/>
                  <w:vAlign w:val="top"/>
                </w:tcPr>
                <w:p>
                  <w:r>
                    <w:t xml:space="preserve">Cellulitis</w:t>
                  </w:r>
                </w:p>
              </w:tc>
              <w:tc>
                <w:tcPr>
                  <w:tcW w:w="1400" w:type="pct"/>
                  <w:vAlign w:val="top"/>
                </w:tcPr>
                <w:p>
                  <w:r>
                    <w:t xml:space="preserve">L03, L04, L08, L88, L98.0, L98.3</w:t>
                  </w:r>
                </w:p>
              </w:tc>
              <w:tc>
                <w:tcPr>
                  <w:tcW w:w="2500" w:type="pct"/>
                  <w:vAlign w:val="top"/>
                </w:tcPr>
                <w:p>
                  <w:r>
                    <w:t xml:space="preserve">Principal diagnosis only; exclude cases with any procedure except those in blocks 1820 to 2016 or if procedure is 30316-02, 30676-00, 30223-02, 30064-00, 34528-02, 39127-00, 90661-00 and this is the only listed procedure</w:t>
                  </w:r>
                </w:p>
              </w:tc>
            </w:tr>
            <w:tr>
              <w:trPr/>
              <w:tc>
                <w:tcPr>
                  <w:tcW w:w="1050" w:type="pct"/>
                  <w:vAlign w:val="top"/>
                </w:tcPr>
                <w:p>
                  <w:r>
                    <w:t xml:space="preserve">Pelvic inflammatory disease</w:t>
                  </w:r>
                </w:p>
              </w:tc>
              <w:tc>
                <w:tcPr>
                  <w:tcW w:w="1400" w:type="pct"/>
                  <w:vAlign w:val="top"/>
                </w:tcPr>
                <w:p>
                  <w:r>
                    <w:t xml:space="preserve">N70, N73, N74</w:t>
                  </w:r>
                </w:p>
              </w:tc>
              <w:tc>
                <w:tcPr>
                  <w:tcW w:w="2500" w:type="pct"/>
                  <w:vAlign w:val="top"/>
                </w:tcPr>
                <w:p>
                  <w:r>
                    <w:t xml:space="preserve">Principal diagnosis only</w:t>
                  </w:r>
                </w:p>
              </w:tc>
            </w:tr>
            <w:tr>
              <w:trPr/>
              <w:tc>
                <w:tcPr>
                  <w:tcW w:w="1050" w:type="pct"/>
                  <w:vAlign w:val="top"/>
                </w:tcPr>
                <w:p>
                  <w:r>
                    <w:t xml:space="preserve">Ear, nose and throat infections</w:t>
                  </w:r>
                </w:p>
              </w:tc>
              <w:tc>
                <w:tcPr>
                  <w:tcW w:w="1400" w:type="pct"/>
                  <w:vAlign w:val="top"/>
                </w:tcPr>
                <w:p>
                  <w:r>
                    <w:t xml:space="preserve">H66, H67, J02, J03, J06, J31.2</w:t>
                  </w:r>
                </w:p>
              </w:tc>
              <w:tc>
                <w:tcPr>
                  <w:tcW w:w="2500" w:type="pct"/>
                  <w:vAlign w:val="top"/>
                </w:tcPr>
                <w:p>
                  <w:r>
                    <w:t xml:space="preserve">Principal diagnosis only</w:t>
                  </w:r>
                </w:p>
              </w:tc>
            </w:tr>
            <w:tr>
              <w:trPr/>
              <w:tc>
                <w:tcPr>
                  <w:tcW w:w="1050" w:type="pct"/>
                  <w:vAlign w:val="top"/>
                </w:tcPr>
                <w:p>
                  <w:r>
                    <w:t xml:space="preserve">Dental conditions</w:t>
                  </w:r>
                </w:p>
              </w:tc>
              <w:tc>
                <w:tcPr>
                  <w:tcW w:w="1400" w:type="pct"/>
                  <w:vAlign w:val="top"/>
                </w:tcPr>
                <w:p>
                  <w:r>
                    <w:t xml:space="preserve">K02, K03, K04, K05, K06, K08, K09.8, K09.9, K12, K13</w:t>
                  </w:r>
                </w:p>
              </w:tc>
              <w:tc>
                <w:tcPr>
                  <w:tcW w:w="2500" w:type="pct"/>
                  <w:vAlign w:val="top"/>
                </w:tcPr>
                <w:p>
                  <w:r>
                    <w:t xml:space="preserve">Principal diagnosis only</w:t>
                  </w:r>
                </w:p>
              </w:tc>
            </w:tr>
            <w:tr>
              <w:trPr/>
              <w:tc>
                <w:tcPr>
                  <w:tcW w:w="1050" w:type="pct"/>
                  <w:vAlign w:val="top"/>
                </w:tcPr>
                <w:p>
                  <w:r>
                    <w:t xml:space="preserve">Appendicitis with generalised peritonitis</w:t>
                  </w:r>
                </w:p>
              </w:tc>
              <w:tc>
                <w:tcPr>
                  <w:tcW w:w="1400" w:type="pct"/>
                  <w:vAlign w:val="top"/>
                </w:tcPr>
                <w:p>
                  <w:r>
                    <w:t xml:space="preserve">K35.2, K35.3</w:t>
                  </w:r>
                </w:p>
              </w:tc>
              <w:tc>
                <w:tcPr>
                  <w:tcW w:w="2500" w:type="pct"/>
                  <w:vAlign w:val="top"/>
                </w:tcPr>
                <w:p>
                  <w:r>
                    <w:t xml:space="preserve">In any diagnosis field (1–100)</w:t>
                  </w:r>
                </w:p>
              </w:tc>
            </w:tr>
            <w:tr>
              <w:trPr/>
              <w:tc>
                <w:tcPr>
                  <w:tcW w:w="1050" w:type="pct"/>
                  <w:vAlign w:val="top"/>
                </w:tcPr>
                <w:p>
                  <w:r>
                    <w:t xml:space="preserve">Convulsions and epilepsy</w:t>
                  </w:r>
                </w:p>
              </w:tc>
              <w:tc>
                <w:tcPr>
                  <w:tcW w:w="1400" w:type="pct"/>
                  <w:vAlign w:val="top"/>
                </w:tcPr>
                <w:p>
                  <w:r>
                    <w:t xml:space="preserve">G40, G41, O15, R56</w:t>
                  </w:r>
                </w:p>
              </w:tc>
              <w:tc>
                <w:tcPr>
                  <w:tcW w:w="2500" w:type="pct"/>
                  <w:vAlign w:val="top"/>
                </w:tcPr>
                <w:p>
                  <w:r>
                    <w:t xml:space="preserve">Principal diagnosis only</w:t>
                  </w:r>
                </w:p>
              </w:tc>
            </w:tr>
            <w:tr>
              <w:trPr/>
              <w:tc>
                <w:tcPr>
                  <w:tcW w:w="1050" w:type="pct"/>
                  <w:vAlign w:val="top"/>
                </w:tcPr>
                <w:p>
                  <w:r>
                    <w:t xml:space="preserve">Gangrene</w:t>
                  </w:r>
                </w:p>
              </w:tc>
              <w:tc>
                <w:tcPr>
                  <w:tcW w:w="1400" w:type="pct"/>
                  <w:vAlign w:val="top"/>
                </w:tcPr>
                <w:p>
                  <w:r>
                    <w:t xml:space="preserve">R02</w:t>
                  </w:r>
                </w:p>
              </w:tc>
              <w:tc>
                <w:tcPr>
                  <w:tcW w:w="2500" w:type="pct"/>
                  <w:vAlign w:val="top"/>
                </w:tcPr>
                <w:p>
                  <w:r>
                    <w:t xml:space="preserve">In any diagnosis field (1–100)</w:t>
                  </w:r>
                </w:p>
              </w:tc>
            </w:tr>
            <w:tr>
              <w:trPr/>
              <w:tc>
                <w:tcPr>
                  <w:tcW w:w="1050" w:type="pct"/>
                  <w:gridSpan w:val="3"/>
                  <w:vAlign w:val="top"/>
                </w:tcPr>
                <w:p>
                  <w:r>
                    <w:rPr>
                      <w:b/>
                    </w:rPr>
                    <w:t xml:space="preserve">Vaccine-preventable</w:t>
                  </w:r>
                  <w:r>
                    <w:t xml:space="preserve"> </w:t>
                  </w:r>
                </w:p>
              </w:tc>
            </w:tr>
            <w:tr>
              <w:trPr/>
              <w:tc>
                <w:tcPr>
                  <w:tcW w:w="1050" w:type="pct"/>
                  <w:vAlign w:val="top"/>
                </w:tcPr>
                <w:p>
                  <w:r>
                    <w:t xml:space="preserve">Influenza and pneumonia</w:t>
                  </w:r>
                </w:p>
              </w:tc>
              <w:tc>
                <w:tcPr>
                  <w:tcW w:w="1400" w:type="pct"/>
                  <w:vAlign w:val="top"/>
                </w:tcPr>
                <w:p>
                  <w:r>
                    <w:t xml:space="preserve">J10, J11, J13, J14, J15.3, J15.4, J15.7, J15.9, J16.8, J18.1, J18.8</w:t>
                  </w:r>
                </w:p>
              </w:tc>
              <w:tc>
                <w:tcPr>
                  <w:tcW w:w="2500" w:type="pct"/>
                  <w:vAlign w:val="top"/>
                </w:tcPr>
                <w:p>
                  <w:r>
                    <w:t xml:space="preserve">In any diagnosis field (1–100), excludes cases with additional diagnosis of D57 (sickle-cell disorders) and people under 2 months</w:t>
                  </w:r>
                </w:p>
              </w:tc>
            </w:tr>
            <w:tr>
              <w:trPr/>
              <w:tc>
                <w:tcPr>
                  <w:tcW w:w="1050" w:type="pct"/>
                  <w:vAlign w:val="top"/>
                </w:tcPr>
                <w:p>
                  <w:r>
                    <w:t xml:space="preserve">Other vaccine-preventable conditions</w:t>
                  </w:r>
                </w:p>
              </w:tc>
              <w:tc>
                <w:tcPr>
                  <w:tcW w:w="1400" w:type="pct"/>
                  <w:vAlign w:val="top"/>
                </w:tcPr>
                <w:p>
                  <w:r>
                    <w:t xml:space="preserve">A35, A36, A37, A80, B05, B06, B16.1, B16.9, B18.0, B18.1, B26, G00.0, M01.4</w:t>
                  </w:r>
                </w:p>
              </w:tc>
              <w:tc>
                <w:tcPr>
                  <w:tcW w:w="2500" w:type="pct"/>
                  <w:vAlign w:val="top"/>
                </w:tcPr>
                <w:p>
                  <w:r>
                    <w:t xml:space="preserve">In any diagnosis field (1–100)</w:t>
                  </w:r>
                </w:p>
              </w:tc>
            </w:tr>
          </w:tbl>
          <w:p>
            <w:r>
              <w:t xml:space="preserve"> </w:t>
            </w:r>
          </w:p>
          <w:p>
            <w:r>
              <w:t xml:space="preserve"> </w:t>
            </w:r>
          </w:p>
          <w:p>
            <w:r>
              <w:t xml:space="preserve">Analysis by Medicare Local catchment and Statistical Areas Level 3 (SA3) is based on postcode of usual residence of the patient.</w:t>
            </w:r>
          </w:p>
          <w:p>
            <w:r>
              <w:t xml:space="preserve">Presented as a number per 100,000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r>
              <w:rPr>
                <w:rStyle w:val="row-content-rich-text"/>
              </w:rPr>
              <w:t xml:space="preserve">Number of selected potentially avoidable hospitalisations per 100,000 people (crude and age-standardised to the 2001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potentially avoidable hospitalisations in 2011–12 for the following groups:</w:t>
            </w:r>
          </w:p>
          <w:p>
            <w:pPr>
              <w:pStyle w:val="ListParagraph"/>
              <w:numPr>
                <w:ilvl w:val="0"/>
                <w:numId w:val="2"/>
              </w:numPr>
            </w:pPr>
            <w:r>
              <w:rPr>
                <w:rStyle w:val="row-content-rich-text"/>
              </w:rPr>
              <w:t xml:space="preserve">Selected potentially avoidable hospitalisations</w:t>
            </w:r>
          </w:p>
          <w:p>
            <w:pPr>
              <w:pStyle w:val="ListParagraph"/>
              <w:numPr>
                <w:ilvl w:val="0"/>
                <w:numId w:val="2"/>
              </w:numPr>
            </w:pPr>
            <w:r>
              <w:rPr>
                <w:rStyle w:val="row-content-rich-text"/>
              </w:rPr>
              <w:t xml:space="preserve">Potentially avoidable hospitalisations for chronic conditions</w:t>
            </w:r>
          </w:p>
          <w:p>
            <w:pPr>
              <w:pStyle w:val="ListParagraph"/>
              <w:numPr>
                <w:ilvl w:val="0"/>
                <w:numId w:val="2"/>
              </w:numPr>
            </w:pPr>
            <w:r>
              <w:rPr>
                <w:rStyle w:val="row-content-rich-text"/>
              </w:rPr>
              <w:t xml:space="preserve">Potentially avoidable hospitalisations for acute and vaccine-preventable conditions</w:t>
            </w:r>
          </w:p>
          <w:p>
            <w:pPr>
              <w:pStyle w:val="ListParagraph"/>
              <w:numPr>
                <w:ilvl w:val="0"/>
                <w:numId w:val="2"/>
              </w:numPr>
            </w:pPr>
            <w:r>
              <w:rPr>
                <w:rStyle w:val="row-content-rich-text"/>
              </w:rPr>
              <w:t xml:space="preserve">Potentially avoidable hospitalisations for individual conditions except iron deficiency anaemia and nutritional deficiencies which were combined due to low separation counts for nutritional deficiencies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428e2be92a4e11">
              <w:r>
                <w:rPr>
                  <w:rStyle w:val="Hyperlink"/>
                </w:rPr>
                <w:t xml:space="preserve">Episode of admitted patient care—admission date, DDMMYYYY</w:t>
              </w:r>
            </w:hyperlink>
          </w:p>
          <w:p>
            <w:r>
              <w:rPr>
                <w:rStyle w:val="row-content"/>
                <w:b/>
              </w:rPr>
              <w:t xml:space="preserve">Data Source</w:t>
            </w:r>
          </w:p>
          <w:p>
            <w:hyperlink w:history="true" r:id="Re8ce7badcaf741ca">
              <w:r>
                <w:rPr>
                  <w:rStyle w:val="Hyperlink"/>
                </w:rPr>
                <w:t xml:space="preserve">National Hospital Morbidity Database (NHMD)</w:t>
              </w:r>
            </w:hyperlink>
          </w:p>
          <w:p>
            <w:r>
              <w:rPr>
                <w:rStyle w:val="row-content"/>
                <w:b/>
              </w:rPr>
              <w:t xml:space="preserve">NMDS / DSS</w:t>
            </w:r>
          </w:p>
          <w:p>
            <w:hyperlink w:history="true" r:id="Rb66ed4e130884a56">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2d9221a5e314e88">
              <w:r>
                <w:rPr>
                  <w:rStyle w:val="Hyperlink"/>
                </w:rPr>
                <w:t xml:space="preserve">Person—date of birth, DDMMYYYY</w:t>
              </w:r>
            </w:hyperlink>
          </w:p>
          <w:p>
            <w:r>
              <w:rPr>
                <w:rStyle w:val="row-content"/>
                <w:b/>
              </w:rPr>
              <w:t xml:space="preserve">Data Source</w:t>
            </w:r>
          </w:p>
          <w:p>
            <w:hyperlink w:history="true" r:id="Rb9e0b770f89047b6">
              <w:r>
                <w:rPr>
                  <w:rStyle w:val="Hyperlink"/>
                </w:rPr>
                <w:t xml:space="preserve">National Hospital Morbidity Database (NHMD)</w:t>
              </w:r>
            </w:hyperlink>
          </w:p>
          <w:p>
            <w:r>
              <w:rPr>
                <w:rStyle w:val="row-content"/>
                <w:b/>
              </w:rPr>
              <w:t xml:space="preserve">NMDS / DSS</w:t>
            </w:r>
          </w:p>
          <w:p>
            <w:hyperlink w:history="true" r:id="R8d79e4bdf42f4922">
              <w:r>
                <w:rPr>
                  <w:rStyle w:val="Hyperlink"/>
                </w:rPr>
                <w:t xml:space="preserve">Admitted patient care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calculate age</w:t>
            </w:r>
          </w:p>
          <w:p>
            <w:r>
              <w:rPr>
                <w:rStyle w:val="row-content"/>
              </w:rPr>
              <w:t xml:space="preserve"> </w:t>
            </w:r>
          </w:p>
          <w:p>
            <w:r>
              <w:rPr>
                <w:rStyle w:val="row-content"/>
                <w:b/>
                <w:color w:val="000000"/>
              </w:rPr>
              <w:t xml:space="preserve">Data Element / Data Set</w:t>
            </w:r>
          </w:p>
          <w:p>
            <w:hyperlink w:history="true" r:id="R27802389c81d4934">
              <w:r>
                <w:rPr>
                  <w:rStyle w:val="Hyperlink"/>
                </w:rPr>
                <w:t xml:space="preserve">Episode of care—additional diagnosis, code (ICD-10-AM 7th edn) ANN{.N[N]}</w:t>
              </w:r>
            </w:hyperlink>
          </w:p>
          <w:p>
            <w:r>
              <w:rPr>
                <w:rStyle w:val="row-content"/>
                <w:b/>
              </w:rPr>
              <w:t xml:space="preserve">Data Source</w:t>
            </w:r>
          </w:p>
          <w:p>
            <w:hyperlink w:history="true" r:id="Rcc9a679577d0414e">
              <w:r>
                <w:rPr>
                  <w:rStyle w:val="Hyperlink"/>
                </w:rPr>
                <w:t xml:space="preserve">National Hospital Morbidity Database (NHMD)</w:t>
              </w:r>
            </w:hyperlink>
          </w:p>
          <w:p>
            <w:r>
              <w:rPr>
                <w:rStyle w:val="row-content"/>
                <w:b/>
              </w:rPr>
              <w:t xml:space="preserve">NMDS / DSS</w:t>
            </w:r>
          </w:p>
          <w:p>
            <w:hyperlink w:history="true" r:id="Rad4bc88f09764428">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39648e171964b15">
              <w:r>
                <w:rPr>
                  <w:rStyle w:val="Hyperlink"/>
                </w:rPr>
                <w:t xml:space="preserve">Episode of care—principal diagnosis, code (ICD-10-AM 7th edn) ANN{.N[N]}</w:t>
              </w:r>
            </w:hyperlink>
          </w:p>
          <w:p>
            <w:r>
              <w:rPr>
                <w:rStyle w:val="row-content"/>
                <w:b/>
              </w:rPr>
              <w:t xml:space="preserve">Data Source</w:t>
            </w:r>
          </w:p>
          <w:p>
            <w:hyperlink w:history="true" r:id="R4ae4ea638276402d">
              <w:r>
                <w:rPr>
                  <w:rStyle w:val="Hyperlink"/>
                </w:rPr>
                <w:t xml:space="preserve">National Hospital Morbidity Database (NHMD)</w:t>
              </w:r>
            </w:hyperlink>
          </w:p>
          <w:p>
            <w:r>
              <w:rPr>
                <w:rStyle w:val="row-content"/>
                <w:b/>
              </w:rPr>
              <w:t xml:space="preserve">NMDS / DSS</w:t>
            </w:r>
          </w:p>
          <w:p>
            <w:hyperlink w:history="true" r:id="Red7161e50ee04a62">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db3716ad5694a6d">
              <w:r>
                <w:rPr>
                  <w:rStyle w:val="Hyperlink"/>
                </w:rPr>
                <w:t xml:space="preserve">Episode of admitted patient care—procedure, code (ACHI 7th edn) NNNNN-NN</w:t>
              </w:r>
            </w:hyperlink>
          </w:p>
          <w:p>
            <w:r>
              <w:rPr>
                <w:rStyle w:val="row-content"/>
                <w:b/>
              </w:rPr>
              <w:t xml:space="preserve">Data Source</w:t>
            </w:r>
          </w:p>
          <w:p>
            <w:hyperlink w:history="true" r:id="R21890e69aad94f4d">
              <w:r>
                <w:rPr>
                  <w:rStyle w:val="Hyperlink"/>
                </w:rPr>
                <w:t xml:space="preserve">National Hospital Morbidity Database (NHMD)</w:t>
              </w:r>
            </w:hyperlink>
          </w:p>
          <w:p>
            <w:r>
              <w:rPr>
                <w:rStyle w:val="row-content"/>
                <w:b/>
              </w:rPr>
              <w:t xml:space="preserve">NMDS / DSS</w:t>
            </w:r>
          </w:p>
          <w:p>
            <w:hyperlink w:history="true" r:id="R68a327e0073e4a0c">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5489def3074c3a">
              <w:r>
                <w:rPr>
                  <w:rStyle w:val="Hyperlink"/>
                </w:rPr>
                <w:t xml:space="preserve">Person—estimated resident population of Australia, total people N[N(7)]</w:t>
              </w:r>
            </w:hyperlink>
          </w:p>
          <w:p>
            <w:r>
              <w:rPr>
                <w:rStyle w:val="row-content"/>
                <w:b/>
              </w:rPr>
              <w:t xml:space="preserve">Data Source</w:t>
            </w:r>
          </w:p>
          <w:p>
            <w:hyperlink w:history="true" r:id="Ref8a417a7d2c4b01">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2011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by Medicare Local catchments, Medicare Local peer groups and Statistical Areas Level 3, which have been derived from </w:t>
            </w:r>
            <w:hyperlink w:history="true" r:id="R6ba028d359684296">
              <w:r>
                <w:rPr>
                  <w:rStyle w:val="Hyperlink"/>
                </w:rPr>
                <w:t xml:space="preserve">Postcode—Australian (person)</w:t>
              </w:r>
            </w:hyperlink>
            <w:r>
              <w:rPr>
                <w:rStyle w:val="row-content-rich-text"/>
              </w:rPr>
              <w:t xml:space="preserve">:</w:t>
            </w:r>
          </w:p>
          <w:p>
            <w:pPr>
              <w:pStyle w:val="ListParagraph"/>
              <w:numPr>
                <w:ilvl w:val="0"/>
                <w:numId w:val="3"/>
              </w:numPr>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Medical Local. </w:t>
            </w:r>
          </w:p>
          <w:p>
            <w:pPr>
              <w:pStyle w:val="ListParagraph"/>
              <w:numPr>
                <w:ilvl w:val="0"/>
                <w:numId w:val="3"/>
              </w:numPr>
            </w:pPr>
            <w:r>
              <w:rPr>
                <w:rStyle w:val="row-content-rich-text"/>
              </w:rPr>
              <w:t xml:space="preserve">Medicare Local peer groups are the grouping of the 61 Medicare Locals into seven peer groups.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p>
            <w:pPr>
              <w:pStyle w:val="ListParagraph"/>
              <w:numPr>
                <w:ilvl w:val="0"/>
                <w:numId w:val="3"/>
              </w:numPr>
            </w:pPr>
            <w:r>
              <w:rPr>
                <w:rStyle w:val="row-content-rich-text"/>
              </w:rPr>
              <w:t xml:space="preserve">Statistical Areas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39e6acf62744d2">
              <w:r>
                <w:rPr>
                  <w:rStyle w:val="Hyperlink"/>
                </w:rPr>
                <w:t xml:space="preserve">Address—Australian postcode, Australian postcode code (Postcode datafile) {NNNN}</w:t>
              </w:r>
            </w:hyperlink>
          </w:p>
          <w:p>
            <w:r>
              <w:rPr>
                <w:rStyle w:val="row-content"/>
                <w:b/>
              </w:rPr>
              <w:t xml:space="preserve">Data Source</w:t>
            </w:r>
          </w:p>
          <w:p>
            <w:hyperlink w:history="true" r:id="R1582f184a9264f8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Medicare Local catchment and Statistical Areas Level 3.</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Admitted Patient Care National Minimum Data Set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 Episodes of non-admitted patient care provided in outpatient clinics or emergency departments are excluded from the APC NMDS data.</w:t>
            </w:r>
          </w:p>
          <w:p>
            <w:pPr/>
            <w:r>
              <w:rPr>
                <w:rStyle w:val="row-content-rich-text"/>
              </w:rPr>
              <w:t xml:space="preserve">Potentially avoidable hospitalisations are also called ‘potentially preventable hospitalisations’ and ‘ambulatory care sensitive hospitalisations’.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433147bd584b0e">
              <w:r>
                <w:rPr>
                  <w:rStyle w:val="Hyperlink"/>
                </w:rPr>
                <w:t xml:space="preserve">PAF-Effectiveness of access</w:t>
              </w:r>
            </w:hyperlink>
            <w:r>
              <w:br/>
            </w:r>
            <w:r>
              <w:br/>
            </w:r>
            <w:hyperlink w:history="true" r:id="R95db5d770314456a">
              <w:r>
                <w:rPr>
                  <w:rStyle w:val="Hyperlink"/>
                </w:rPr>
                <w:t xml:space="preserve">PAF-Effectiveness</w:t>
              </w:r>
            </w:hyperlink>
          </w:p>
          <w:p>
            <w:pPr>
              <w:pStyle w:val="ListParagraph"/>
              <w:numPr>
                <w:ilvl w:val="0"/>
                <w:numId w:val="4"/>
              </w:numPr>
            </w:pPr>
            <w:hyperlink w:history="true" r:id="R40003053a4764efb">
              <w:r>
                <w:rPr>
                  <w:rStyle w:val="Hyperlink"/>
                </w:rPr>
                <w:t xml:space="preserve">PAF-Appropriateness</w:t>
              </w:r>
            </w:hyperlink>
            <w:r>
              <w:br/>
            </w:r>
            <w:r>
              <w:rPr>
                <w:rStyle w:val="row-content"/>
              </w:rPr>
              <w:t xml:space="preserve"> </w:t>
            </w:r>
          </w:p>
          <w:p>
            <w:pPr>
              <w:pStyle w:val="ListParagraph"/>
              <w:numPr>
                <w:ilvl w:val="0"/>
                <w:numId w:val="4"/>
              </w:numPr>
            </w:pPr>
            <w:hyperlink w:history="true" r:id="R5a0066580c574e7a">
              <w:r>
                <w:rPr>
                  <w:rStyle w:val="Hyperlink"/>
                </w:rPr>
                <w:t xml:space="preserve">PAF-Effectiveness of access</w:t>
              </w:r>
            </w:hyperlink>
            <w:r>
              <w:br/>
            </w:r>
            <w:r>
              <w:rPr>
                <w:rStyle w:val="row-content"/>
              </w:rPr>
              <w:t xml:space="preserve"> </w:t>
            </w:r>
          </w:p>
          <w:p>
            <w:pPr>
              <w:pStyle w:val="ListParagraph"/>
              <w:numPr>
                <w:ilvl w:val="0"/>
                <w:numId w:val="4"/>
              </w:numPr>
            </w:pPr>
            <w:hyperlink w:history="true" r:id="R86b1812ec9434fa4">
              <w:r>
                <w:rPr>
                  <w:rStyle w:val="Hyperlink"/>
                </w:rPr>
                <w:t xml:space="preserve">PAF-Quality</w:t>
              </w:r>
            </w:hyperlink>
            <w:r>
              <w:br/>
            </w:r>
            <w:r>
              <w:rPr>
                <w:rStyle w:val="row-content"/>
              </w:rPr>
              <w:t xml:space="preserve">        • </w:t>
            </w:r>
            <w:hyperlink w:history="true" r:id="R39bb77461acd4aa5">
              <w:r>
                <w:rPr>
                  <w:rStyle w:val="Hyperlink"/>
                </w:rPr>
                <w:t xml:space="preserve">PAF-Capability</w:t>
              </w:r>
            </w:hyperlink>
            <w:r>
              <w:br/>
            </w:r>
            <w:r>
              <w:br/>
            </w:r>
            <w:r>
              <w:rPr>
                <w:rStyle w:val="row-content"/>
              </w:rPr>
              <w:t xml:space="preserve">        • </w:t>
            </w:r>
            <w:hyperlink w:history="true" r:id="R7897b5e7c6d14ff1">
              <w:r>
                <w:rPr>
                  <w:rStyle w:val="Hyperlink"/>
                </w:rPr>
                <w:t xml:space="preserve">PAF-Continuity</w:t>
              </w:r>
            </w:hyperlink>
            <w:r>
              <w:br/>
            </w:r>
            <w:r>
              <w:br/>
            </w:r>
            <w:r>
              <w:rPr>
                <w:rStyle w:val="row-content"/>
              </w:rPr>
              <w:t xml:space="preserve">        • </w:t>
            </w:r>
            <w:hyperlink w:history="true" r:id="R58ad5345d59345b5">
              <w:r>
                <w:rPr>
                  <w:rStyle w:val="Hyperlink"/>
                </w:rPr>
                <w:t xml:space="preserve">PAF-Responsiveness</w:t>
              </w:r>
            </w:hyperlink>
            <w:r>
              <w:br/>
            </w:r>
            <w:r>
              <w:br/>
            </w:r>
            <w:r>
              <w:rPr>
                <w:rStyle w:val="row-content"/>
              </w:rPr>
              <w:t xml:space="preserve">        • </w:t>
            </w:r>
            <w:hyperlink w:history="true" r:id="R137bd6fd7520459c">
              <w:r>
                <w:rPr>
                  <w:rStyle w:val="Hyperlink"/>
                </w:rPr>
                <w:t xml:space="preserve">PAF-Safety</w:t>
              </w:r>
            </w:hyperlink>
            <w:r>
              <w:br/>
            </w:r>
            <w:r>
              <w:rPr>
                <w:rStyle w:val="row-content"/>
              </w:rPr>
              <w:t xml:space="preserve"> </w:t>
            </w:r>
          </w:p>
          <w:p>
            <w:pPr>
              <w:pStyle w:val="ListParagraph"/>
              <w:numPr>
                <w:ilvl w:val="0"/>
                <w:numId w:val="4"/>
              </w:numPr>
            </w:pPr>
            <w:hyperlink w:history="true" r:id="R28d9859f55ac48df">
              <w:r>
                <w:rPr>
                  <w:rStyle w:val="Hyperlink"/>
                </w:rPr>
                <w:t xml:space="preserve">PAF-Sustainability</w:t>
              </w:r>
            </w:hyperlink>
            <w:r>
              <w:br/>
            </w:r>
            <w:r>
              <w:rPr>
                <w:rStyle w:val="row-content"/>
              </w:rPr>
              <w:t xml:space="preserve"> </w:t>
            </w:r>
          </w:p>
          <w:p>
            <w:r>
              <w:br/>
            </w:r>
            <w:hyperlink w:history="true" r:id="R11b14dfd772647af">
              <w:r>
                <w:rPr>
                  <w:rStyle w:val="Hyperlink"/>
                </w:rPr>
                <w:t xml:space="preserve">PAF-Safety</w:t>
              </w:r>
            </w:hyperlink>
            <w:r>
              <w:br/>
            </w:r>
            <w:r>
              <w:br/>
            </w:r>
          </w:p>
          <w:p>
            <w:hyperlink w:history="true" r:id="R50e7dcbed05b4edd">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6ac45803794ac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4f9e39a1e0f441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7cec51dcae44fe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Performance and Accountability Framework (NHR_PAF)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(NHPA)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07/11/2013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Reform Performance and Accountability Framework</w:t>
            </w:r>
          </w:p>
          <w:p>
            <w:pPr/>
            <w:r>
              <w:rPr>
                <w:rStyle w:val="row-content-rich-text"/>
              </w:rPr>
              <w:t xml:space="preserve">Healthy Communities: Selected potentially avoidable hospitalisations in 2011–12, Technical Supplement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f9d45a03a65475d">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176af440f42d4c39">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083f431d1caf43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549587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52771d71a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3f431d1caf43f5" /><Relationship Type="http://schemas.openxmlformats.org/officeDocument/2006/relationships/header" Target="/word/header1.xml" Id="Ra289d981c24a458c" /><Relationship Type="http://schemas.openxmlformats.org/officeDocument/2006/relationships/settings" Target="/word/settings.xml" Id="Rf1fa84616050485a" /><Relationship Type="http://schemas.openxmlformats.org/officeDocument/2006/relationships/styles" Target="/word/styles.xml" Id="R1de1479fb94a452d" /><Relationship Type="http://schemas.openxmlformats.org/officeDocument/2006/relationships/hyperlink" Target="https://meteor.aihw.gov.au/RegistrationAuthority/8" TargetMode="External" Id="R6ee32d416b5b43ca" /><Relationship Type="http://schemas.openxmlformats.org/officeDocument/2006/relationships/hyperlink" Target="https://meteor.aihw.gov.au/content/550329" TargetMode="External" Id="R4a9d21c3590b46d7" /><Relationship Type="http://schemas.openxmlformats.org/officeDocument/2006/relationships/hyperlink" Target="https://meteor.aihw.gov.au/RegistrationAuthority/8" TargetMode="External" Id="Read46ae60cd240da" /><Relationship Type="http://schemas.openxmlformats.org/officeDocument/2006/relationships/numbering" Target="/word/numbering.xml" Id="R361fa4b3265c4b97" /><Relationship Type="http://schemas.openxmlformats.org/officeDocument/2006/relationships/hyperlink" Target="https://meteor.aihw.gov.au/content/269967" TargetMode="External" Id="Rf4428e2be92a4e11" /><Relationship Type="http://schemas.openxmlformats.org/officeDocument/2006/relationships/hyperlink" Target="https://meteor.aihw.gov.au/content/394352" TargetMode="External" Id="Re8ce7badcaf741ca" /><Relationship Type="http://schemas.openxmlformats.org/officeDocument/2006/relationships/hyperlink" Target="https://meteor.aihw.gov.au/content/426861" TargetMode="External" Id="Rb66ed4e130884a56" /><Relationship Type="http://schemas.openxmlformats.org/officeDocument/2006/relationships/hyperlink" Target="https://meteor.aihw.gov.au/content/287007" TargetMode="External" Id="Re2d9221a5e314e88" /><Relationship Type="http://schemas.openxmlformats.org/officeDocument/2006/relationships/hyperlink" Target="https://meteor.aihw.gov.au/content/394352" TargetMode="External" Id="Rb9e0b770f89047b6" /><Relationship Type="http://schemas.openxmlformats.org/officeDocument/2006/relationships/hyperlink" Target="https://meteor.aihw.gov.au/content/426861" TargetMode="External" Id="R8d79e4bdf42f4922" /><Relationship Type="http://schemas.openxmlformats.org/officeDocument/2006/relationships/hyperlink" Target="https://meteor.aihw.gov.au/content/391322" TargetMode="External" Id="R27802389c81d4934" /><Relationship Type="http://schemas.openxmlformats.org/officeDocument/2006/relationships/hyperlink" Target="https://meteor.aihw.gov.au/content/394352" TargetMode="External" Id="Rcc9a679577d0414e" /><Relationship Type="http://schemas.openxmlformats.org/officeDocument/2006/relationships/hyperlink" Target="https://meteor.aihw.gov.au/content/426861" TargetMode="External" Id="Rad4bc88f09764428" /><Relationship Type="http://schemas.openxmlformats.org/officeDocument/2006/relationships/hyperlink" Target="https://meteor.aihw.gov.au/content/391326" TargetMode="External" Id="R839648e171964b15" /><Relationship Type="http://schemas.openxmlformats.org/officeDocument/2006/relationships/hyperlink" Target="https://meteor.aihw.gov.au/content/394352" TargetMode="External" Id="R4ae4ea638276402d" /><Relationship Type="http://schemas.openxmlformats.org/officeDocument/2006/relationships/hyperlink" Target="https://meteor.aihw.gov.au/content/426861" TargetMode="External" Id="Red7161e50ee04a62" /><Relationship Type="http://schemas.openxmlformats.org/officeDocument/2006/relationships/hyperlink" Target="https://meteor.aihw.gov.au/content/391349" TargetMode="External" Id="Radb3716ad5694a6d" /><Relationship Type="http://schemas.openxmlformats.org/officeDocument/2006/relationships/hyperlink" Target="https://meteor.aihw.gov.au/content/394352" TargetMode="External" Id="R21890e69aad94f4d" /><Relationship Type="http://schemas.openxmlformats.org/officeDocument/2006/relationships/hyperlink" Target="https://meteor.aihw.gov.au/content/426861" TargetMode="External" Id="R68a327e0073e4a0c" /><Relationship Type="http://schemas.openxmlformats.org/officeDocument/2006/relationships/hyperlink" Target="https://meteor.aihw.gov.au/content/388656" TargetMode="External" Id="R1a5489def3074c3a" /><Relationship Type="http://schemas.openxmlformats.org/officeDocument/2006/relationships/hyperlink" Target="https://meteor.aihw.gov.au/content/393625" TargetMode="External" Id="Ref8a417a7d2c4b01" /><Relationship Type="http://schemas.openxmlformats.org/officeDocument/2006/relationships/hyperlink" Target="https://meteor.aihw.gov.au/content/287224" TargetMode="External" Id="R6ba028d359684296" /><Relationship Type="http://schemas.openxmlformats.org/officeDocument/2006/relationships/hyperlink" Target="https://meteor.aihw.gov.au/content/429894" TargetMode="External" Id="R9039e6acf62744d2" /><Relationship Type="http://schemas.openxmlformats.org/officeDocument/2006/relationships/hyperlink" Target="https://meteor.aihw.gov.au/content/394352" TargetMode="External" Id="R1582f184a9264f89" /><Relationship Type="http://schemas.openxmlformats.org/officeDocument/2006/relationships/hyperlink" Target="https://meteor.aihw.gov.au/content/554928" TargetMode="External" Id="Rd9433147bd584b0e" /><Relationship Type="http://schemas.openxmlformats.org/officeDocument/2006/relationships/hyperlink" Target="https://meteor.aihw.gov.au/content/554925" TargetMode="External" Id="R95db5d770314456a" /><Relationship Type="http://schemas.openxmlformats.org/officeDocument/2006/relationships/hyperlink" Target="https://meteor.aihw.gov.au/content/554929" TargetMode="External" Id="R40003053a4764efb" /><Relationship Type="http://schemas.openxmlformats.org/officeDocument/2006/relationships/hyperlink" Target="https://meteor.aihw.gov.au/content/554928" TargetMode="External" Id="R5a0066580c574e7a" /><Relationship Type="http://schemas.openxmlformats.org/officeDocument/2006/relationships/hyperlink" Target="https://meteor.aihw.gov.au/content/554930" TargetMode="External" Id="R86b1812ec9434fa4" /><Relationship Type="http://schemas.openxmlformats.org/officeDocument/2006/relationships/hyperlink" Target="https://meteor.aihw.gov.au/content/554934" TargetMode="External" Id="R39bb77461acd4aa5" /><Relationship Type="http://schemas.openxmlformats.org/officeDocument/2006/relationships/hyperlink" Target="https://meteor.aihw.gov.au/content/554935" TargetMode="External" Id="R7897b5e7c6d14ff1" /><Relationship Type="http://schemas.openxmlformats.org/officeDocument/2006/relationships/hyperlink" Target="https://meteor.aihw.gov.au/content/554933" TargetMode="External" Id="R58ad5345d59345b5" /><Relationship Type="http://schemas.openxmlformats.org/officeDocument/2006/relationships/hyperlink" Target="https://meteor.aihw.gov.au/content/554932" TargetMode="External" Id="R137bd6fd7520459c" /><Relationship Type="http://schemas.openxmlformats.org/officeDocument/2006/relationships/hyperlink" Target="https://meteor.aihw.gov.au/content/554931" TargetMode="External" Id="R28d9859f55ac48df" /><Relationship Type="http://schemas.openxmlformats.org/officeDocument/2006/relationships/hyperlink" Target="https://meteor.aihw.gov.au/content/554932" TargetMode="External" Id="R11b14dfd772647af" /><Relationship Type="http://schemas.openxmlformats.org/officeDocument/2006/relationships/hyperlink" Target="https://meteor.aihw.gov.au/content/554927" TargetMode="External" Id="R50e7dcbed05b4edd" /><Relationship Type="http://schemas.openxmlformats.org/officeDocument/2006/relationships/hyperlink" Target="https://meteor.aihw.gov.au/content/393625" TargetMode="External" Id="R2a6ac45803794ace" /><Relationship Type="http://schemas.openxmlformats.org/officeDocument/2006/relationships/hyperlink" Target="https://meteor.aihw.gov.au/content/449216" TargetMode="External" Id="R94f9e39a1e0f441b" /><Relationship Type="http://schemas.openxmlformats.org/officeDocument/2006/relationships/hyperlink" Target="https://meteor.aihw.gov.au/content/394352" TargetMode="External" Id="R67cec51dcae44fe8" /><Relationship Type="http://schemas.openxmlformats.org/officeDocument/2006/relationships/hyperlink" Target="https://meteor.aihw.gov.au/content/497224" TargetMode="External" Id="R9f9d45a03a65475d" /><Relationship Type="http://schemas.openxmlformats.org/officeDocument/2006/relationships/hyperlink" Target="https://meteor.aihw.gov.au/RegistrationAuthority/12" TargetMode="External" Id="R176af440f42d4c39" /></Relationships>
</file>

<file path=word/_rels/header1.xml.rels>&#65279;<?xml version="1.0" encoding="utf-8"?><Relationships xmlns="http://schemas.openxmlformats.org/package/2006/relationships"><Relationship Type="http://schemas.openxmlformats.org/officeDocument/2006/relationships/image" Target="/media/image.png" Id="R54c52771d71a428e" /></Relationships>
</file>