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0e3988e08e479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GP care,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GP care,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GP care, 2011–12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a6cc0b8e244edd">
              <w:r>
                <w:rPr>
                  <w:rStyle w:val="Hyperlink"/>
                  <w:color w:val="244061"/>
                </w:rPr>
                <w:t xml:space="preserve">National Health Performance Authority (retired)</w:t>
              </w:r>
            </w:hyperlink>
            <w:r>
              <w:rPr>
                <w:rStyle w:val="row-content"/>
                <w:color w:val="244061"/>
              </w:rPr>
              <w:t xml:space="preserve">, Superseded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did not see or delayed seeing a GP due to cost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78f90fc4374c91">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57adc854b4da4a6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2011–12 who reported that they did not see or delayed seeing a GP due to cost in the preceding 12 months</w:t>
            </w:r>
          </w:p>
          <w:p>
            <w:pPr>
              <w:spacing w:after="160"/>
            </w:pPr>
            <w:r>
              <w:rPr>
                <w:rStyle w:val="row-content-rich-text"/>
              </w:rPr>
              <w:t xml:space="preserve">The numerator refers to the number of adults who reported that they did not see or delayed seeing a GP due to cost in the preceding 12 months</w:t>
            </w:r>
          </w:p>
          <w:p>
            <w:pPr>
              <w:spacing w:after="160"/>
            </w:pPr>
            <w:r>
              <w:rPr>
                <w:rStyle w:val="row-content-rich-text"/>
              </w:rPr>
              <w:t xml:space="preserve">The numerator was calculated as the sum of calibrated sample weights for adults who responded that they did not see or delayed seeing a GP due to cost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 Data were suppressed based on the following rules:</w:t>
            </w:r>
          </w:p>
          <w:p>
            <w:pPr>
              <w:pStyle w:val="ListParagraph"/>
              <w:numPr>
                <w:ilvl w:val="0"/>
                <w:numId w:val="2"/>
              </w:numPr>
            </w:pPr>
            <w:r>
              <w:rPr>
                <w:rStyle w:val="row-content-rich-text"/>
              </w:rPr>
              <w:t xml:space="preserve">All point estimate percentages had confidence interval width less than 20 percentage points.</w:t>
            </w:r>
          </w:p>
          <w:p>
            <w:pPr>
              <w:pStyle w:val="ListParagraph"/>
              <w:numPr>
                <w:ilvl w:val="0"/>
                <w:numId w:val="2"/>
              </w:numPr>
            </w:pPr>
            <w:r>
              <w:rPr>
                <w:rStyle w:val="row-content-rich-text"/>
              </w:rPr>
              <w:t xml:space="preserve">Point estimate percentages between 5% and 15% or between 85% and 95% were only included if their confidence interval width was less than 15 percentage points.</w:t>
            </w:r>
          </w:p>
          <w:p>
            <w:pPr>
              <w:pStyle w:val="ListParagraph"/>
              <w:numPr>
                <w:ilvl w:val="0"/>
                <w:numId w:val="2"/>
              </w:numPr>
            </w:pPr>
            <w:r>
              <w:rPr>
                <w:rStyle w:val="row-content-rich-text"/>
              </w:rPr>
              <w:t xml:space="preserve">Point estimate percentages that were less than or equal to 5% or greater than or equal to 95% were included if the confidence interval width was less than 10 percentage points.</w:t>
            </w:r>
          </w:p>
          <w:p>
            <w:pPr>
              <w:pStyle w:val="ListParagraph"/>
              <w:numPr>
                <w:ilvl w:val="0"/>
                <w:numId w:val="2"/>
              </w:numPr>
            </w:pPr>
            <w:r>
              <w:rPr>
                <w:rStyle w:val="row-content-rich-text"/>
              </w:rPr>
              <w:t xml:space="preserve">In addition to these constraints, five Medicare Local catchment areas were identified as having a small sample and potentially less robust estimates. These were Far West NSW, Great South Coast (Vic), Local Murray (Vic/NSW), Central and North West Queensland and Kimberley-Pilbara(WA). Point estimate percentages were only included where the confidence interval width was less than 10 percentage points.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they did not see or delayed seeing a GP due to cost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9f71aee1b94578">
              <w:r>
                <w:rPr>
                  <w:rStyle w:val="Hyperlink"/>
                </w:rPr>
                <w:t xml:space="preserve">Person—delayed visit to GP due to cost indicator, yes/no code N</w:t>
              </w:r>
            </w:hyperlink>
          </w:p>
          <w:p>
            <w:r>
              <w:rPr>
                <w:rStyle w:val="row-content"/>
                <w:b/>
              </w:rPr>
              <w:t xml:space="preserve">Data Source</w:t>
            </w:r>
          </w:p>
          <w:p>
            <w:hyperlink w:history="true" r:id="R8f85f76a1012465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bcea16e6804ed2">
              <w:r>
                <w:rPr>
                  <w:rStyle w:val="Hyperlink"/>
                </w:rPr>
                <w:t xml:space="preserve">Person—age, total years N[NN]</w:t>
              </w:r>
            </w:hyperlink>
          </w:p>
          <w:p>
            <w:r>
              <w:rPr>
                <w:rStyle w:val="row-content"/>
                <w:b/>
              </w:rPr>
              <w:t xml:space="preserve">Data Source</w:t>
            </w:r>
          </w:p>
          <w:p>
            <w:hyperlink w:history="true" r:id="Racdfd4ba31f64c7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cb105f5de34c10">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a013fc4a26114105">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abe10eceb5b4977">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72cfad65a048ed">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6391c1a0184ad5">
              <w:r>
                <w:rPr>
                  <w:rStyle w:val="Hyperlink"/>
                </w:rPr>
                <w:t xml:space="preserve">National Health Performance Authority, Healthy Communities: Cost barriers to GP care, 2012–13 </w:t>
              </w:r>
            </w:hyperlink>
          </w:p>
          <w:p>
            <w:pPr>
              <w:spacing w:before="0" w:after="0"/>
            </w:pPr>
            <w:r>
              <w:rPr>
                <w:rStyle w:val="row-content"/>
                <w:color w:val="244061"/>
              </w:rPr>
              <w:t xml:space="preserve">       </w:t>
            </w:r>
            <w:hyperlink w:history="true" r:id="R69a37a5b8f424cfc">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d93b1927932e4f86">
              <w:r>
                <w:rPr>
                  <w:rStyle w:val="Hyperlink"/>
                </w:rPr>
                <w:t xml:space="preserve">National Health Performance Authority, Healthy Communities: Cost barriers to GP care, 2013–14 </w:t>
              </w:r>
            </w:hyperlink>
          </w:p>
          <w:p>
            <w:pPr>
              <w:spacing w:before="0" w:after="0"/>
            </w:pPr>
            <w:r>
              <w:rPr>
                <w:rStyle w:val="row-content"/>
                <w:color w:val="244061"/>
              </w:rPr>
              <w:t xml:space="preserve">       </w:t>
            </w:r>
            <w:hyperlink w:history="true" r:id="R8dbfdec0796648b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ef7d46f8aec4b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548008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3ef85f91ed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f7d46f8aec4b58" /><Relationship Type="http://schemas.openxmlformats.org/officeDocument/2006/relationships/header" Target="/word/header1.xml" Id="Rdfcd620b24494efb" /><Relationship Type="http://schemas.openxmlformats.org/officeDocument/2006/relationships/settings" Target="/word/settings.xml" Id="R9b879b52acf049c4" /><Relationship Type="http://schemas.openxmlformats.org/officeDocument/2006/relationships/styles" Target="/word/styles.xml" Id="R5d67bd7da342400a" /><Relationship Type="http://schemas.openxmlformats.org/officeDocument/2006/relationships/hyperlink" Target="https://meteor.aihw.gov.au/RegistrationAuthority/8" TargetMode="External" Id="R3aa6cc0b8e244edd" /><Relationship Type="http://schemas.openxmlformats.org/officeDocument/2006/relationships/hyperlink" Target="https://meteor.aihw.gov.au/content/550329" TargetMode="External" Id="Rb778f90fc4374c91" /><Relationship Type="http://schemas.openxmlformats.org/officeDocument/2006/relationships/hyperlink" Target="https://meteor.aihw.gov.au/RegistrationAuthority/8" TargetMode="External" Id="R57adc854b4da4a61" /><Relationship Type="http://schemas.openxmlformats.org/officeDocument/2006/relationships/numbering" Target="/word/numbering.xml" Id="R888c9734b5294bad" /><Relationship Type="http://schemas.openxmlformats.org/officeDocument/2006/relationships/hyperlink" Target="https://meteor.aihw.gov.au/content/573594" TargetMode="External" Id="R699f71aee1b94578" /><Relationship Type="http://schemas.openxmlformats.org/officeDocument/2006/relationships/hyperlink" Target="https://meteor.aihw.gov.au/content/394410" TargetMode="External" Id="R8f85f76a1012465f" /><Relationship Type="http://schemas.openxmlformats.org/officeDocument/2006/relationships/hyperlink" Target="https://meteor.aihw.gov.au/content/303794" TargetMode="External" Id="Rdabcea16e6804ed2" /><Relationship Type="http://schemas.openxmlformats.org/officeDocument/2006/relationships/hyperlink" Target="https://meteor.aihw.gov.au/content/394410" TargetMode="External" Id="Racdfd4ba31f64c7c" /><Relationship Type="http://schemas.openxmlformats.org/officeDocument/2006/relationships/hyperlink" Target="https://meteor.aihw.gov.au/content/513288" TargetMode="External" Id="R2dcb105f5de34c10" /><Relationship Type="http://schemas.openxmlformats.org/officeDocument/2006/relationships/hyperlink" Target="https://meteor.aihw.gov.au/content/550733" TargetMode="External" Id="Ra013fc4a26114105" /><Relationship Type="http://schemas.openxmlformats.org/officeDocument/2006/relationships/hyperlink" Target="https://meteor.aihw.gov.au/content/554927" TargetMode="External" Id="R5abe10eceb5b4977" /><Relationship Type="http://schemas.openxmlformats.org/officeDocument/2006/relationships/hyperlink" Target="https://meteor.aihw.gov.au/content/394410" TargetMode="External" Id="Rbe72cfad65a048ed" /><Relationship Type="http://schemas.openxmlformats.org/officeDocument/2006/relationships/hyperlink" Target="https://meteor.aihw.gov.au/content/601737" TargetMode="External" Id="R246391c1a0184ad5" /><Relationship Type="http://schemas.openxmlformats.org/officeDocument/2006/relationships/hyperlink" Target="https://meteor.aihw.gov.au/RegistrationAuthority/8" TargetMode="External" Id="R69a37a5b8f424cfc" /><Relationship Type="http://schemas.openxmlformats.org/officeDocument/2006/relationships/hyperlink" Target="https://meteor.aihw.gov.au/content/611270" TargetMode="External" Id="Rd93b1927932e4f86" /><Relationship Type="http://schemas.openxmlformats.org/officeDocument/2006/relationships/hyperlink" Target="https://meteor.aihw.gov.au/RegistrationAuthority/8" TargetMode="External" Id="R8dbfdec0796648b8" /></Relationships>
</file>

<file path=word/_rels/header1.xml.rels>&#65279;<?xml version="1.0" encoding="utf-8"?><Relationships xmlns="http://schemas.openxmlformats.org/package/2006/relationships"><Relationship Type="http://schemas.openxmlformats.org/officeDocument/2006/relationships/image" Target="/media/image.png" Id="R5d3ef85f91ed45ac" /></Relationships>
</file>