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6c1770c4e7443ba"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Hospital emergency department visits, 2011–12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Hospital emergency department visits, 2011–12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Visits to hospital EDs, 2011–12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548002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12cbd59a474eeb">
              <w:r>
                <w:rPr>
                  <w:rStyle w:val="Hyperlink"/>
                  <w:color w:val="244061"/>
                </w:rPr>
                <w:t xml:space="preserve">National Health Performance Authority (retired)</w:t>
              </w:r>
            </w:hyperlink>
            <w:r>
              <w:rPr>
                <w:rStyle w:val="row-content"/>
                <w:color w:val="244061"/>
              </w:rPr>
              <w:t xml:space="preserve">, Superseded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people over 15 years of age who reported they went to any hospital emergency department for their own health in the preceding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6c32dd2707d4a36">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eafa183b277146ec">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an adult is defined as a person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Participants in the Australian Bureau of Statistics (ABS) Patient Experience Survey 2011–12 who reported that they went to any hospital emergency department for their own health in the preceding 12 months</w:t>
            </w:r>
          </w:p>
          <w:p>
            <w:pPr>
              <w:spacing w:after="160"/>
            </w:pPr>
            <w:r>
              <w:rPr>
                <w:rStyle w:val="row-content-rich-text"/>
              </w:rPr>
              <w:t xml:space="preserve">The numerator refers to the number of adults who went to any hospital emergency department for their own health in preceding the 12 months.</w:t>
            </w:r>
          </w:p>
          <w:p>
            <w:pPr>
              <w:spacing w:after="160"/>
            </w:pPr>
            <w:r>
              <w:rPr>
                <w:rStyle w:val="row-content-rich-text"/>
              </w:rPr>
              <w:t xml:space="preserve">The numerator was calculated as the sum of calibrated sample weights for adults who responded that they went to any hospital emergency department for their own health in the preceding 12 months and who were enumerated within the particular Medicare local catchment.</w:t>
            </w:r>
          </w:p>
          <w:p>
            <w:pPr>
              <w:spacing w:after="160"/>
            </w:pPr>
            <w:r>
              <w:rPr>
                <w:rStyle w:val="row-content-rich-text"/>
              </w:rPr>
              <w:t xml:space="preserve">Population is limited to persons aged 15 years and over.</w:t>
            </w:r>
          </w:p>
          <w:p>
            <w:pPr>
              <w:spacing w:after="160"/>
            </w:pPr>
            <w:r>
              <w:rPr>
                <w:rStyle w:val="row-content-rich-text"/>
              </w:rPr>
              <w:t xml:space="preserve">The denominator was calculated as the sum of calibrated sample weights for persons aged 15 years and over who were enumerated within the Medicare Local catchment.</w:t>
            </w:r>
          </w:p>
          <w:p>
            <w:pPr>
              <w:spacing w:after="160"/>
            </w:pPr>
            <w:r>
              <w:rPr>
                <w:rStyle w:val="row-content-rich-text"/>
              </w:rPr>
              <w:t xml:space="preserve">Person level survey weights were calibrated to independent estimates of the population of interest, referred to as 'benchmarks'. Weights calibrated against population benchmarks ensure that the survey estimates conform to independently estimated distributions of the population, rather than to the distribution within the sample itself. These benchmarks account for the distribution of people across state and territory, age group, and sex categories. Note: These benchmarks have not been calibrated for Medicare Local geography.</w:t>
            </w:r>
          </w:p>
          <w:p>
            <w:pPr>
              <w:spacing w:after="160"/>
            </w:pPr>
            <w:r>
              <w:rPr>
                <w:rStyle w:val="row-content-rich-text"/>
              </w:rPr>
              <w:t xml:space="preserve">Analysis by remoteness and Socio-Economic Indexes for Areas (SEIFA) Index of Relative Socio-Economic Disadvantage (IRSD) is based on usual residence of the person.</w:t>
            </w:r>
          </w:p>
          <w:p>
            <w:pPr>
              <w:spacing w:after="160"/>
            </w:pPr>
            <w:r>
              <w:rPr>
                <w:rStyle w:val="row-content-rich-text"/>
              </w:rPr>
              <w:t xml:space="preserve">The measure is presented as a percentage. </w:t>
            </w:r>
          </w:p>
          <w:p>
            <w:pPr>
              <w:spacing w:after="160"/>
            </w:pPr>
            <w:r>
              <w:rPr>
                <w:rStyle w:val="row-content-rich-text"/>
              </w:rPr>
              <w:t xml:space="preserve">95% confidence intervals and relative standard errors are calculated for rates.</w:t>
            </w:r>
          </w:p>
          <w:p>
            <w:pPr>
              <w:spacing w:after="160"/>
            </w:pPr>
            <w:r>
              <w:rPr>
                <w:rStyle w:val="row-content-rich-text"/>
              </w:rPr>
              <w:t xml:space="preserve">National Health Performance Authority developed a suppression protocol to ensure robust reporting of these data at small areas. Data were suppressed based on the following rules:</w:t>
            </w:r>
          </w:p>
          <w:p>
            <w:pPr>
              <w:pStyle w:val="ListParagraph"/>
              <w:numPr>
                <w:ilvl w:val="0"/>
                <w:numId w:val="2"/>
              </w:numPr>
            </w:pPr>
            <w:r>
              <w:rPr>
                <w:rStyle w:val="row-content-rich-text"/>
              </w:rPr>
              <w:t xml:space="preserve">All point estimate percentages had a confidence interval width less than 20 percentage points.</w:t>
            </w:r>
          </w:p>
          <w:p>
            <w:pPr>
              <w:pStyle w:val="ListParagraph"/>
              <w:numPr>
                <w:ilvl w:val="0"/>
                <w:numId w:val="2"/>
              </w:numPr>
            </w:pPr>
            <w:r>
              <w:rPr>
                <w:rStyle w:val="row-content-rich-text"/>
              </w:rPr>
              <w:t xml:space="preserve">Point estimate percentages between 5% and 15% or between 85% and 95% were only included if their confidence interval width was less than 15 percentage points.</w:t>
            </w:r>
          </w:p>
          <w:p>
            <w:pPr>
              <w:pStyle w:val="ListParagraph"/>
              <w:numPr>
                <w:ilvl w:val="0"/>
                <w:numId w:val="2"/>
              </w:numPr>
            </w:pPr>
            <w:r>
              <w:rPr>
                <w:rStyle w:val="row-content-rich-text"/>
              </w:rPr>
              <w:t xml:space="preserve">Point estimate percentages that were less than or equal to 5% or greater than or equal to 95% were included if the confidence interval width was less than 10 percentage points.</w:t>
            </w:r>
          </w:p>
          <w:p>
            <w:pPr>
              <w:pStyle w:val="ListParagraph"/>
              <w:numPr>
                <w:ilvl w:val="0"/>
                <w:numId w:val="2"/>
              </w:numPr>
            </w:pPr>
            <w:r>
              <w:rPr>
                <w:rStyle w:val="row-content-rich-text"/>
              </w:rPr>
              <w:t xml:space="preserve">In addition to these constraints, five Medicare Local catchment areas were identified as having a small sample and potentially less robust estimates. These were Far West NSW, Great South Coast (Vic), Local Murray (Vic/NSW), Central and North West Queensland and Kimberley-Pilbara(WA). Point estimate percentages were only included where the confidence interval width was less than 10 percentage points.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15 years and over who reported they went to any hospital emergency department for their own health in the preceding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a568f1422904b24">
              <w:r>
                <w:rPr>
                  <w:rStyle w:val="Hyperlink"/>
                </w:rPr>
                <w:t xml:space="preserve">Person—age, total years N[NN]</w:t>
              </w:r>
            </w:hyperlink>
          </w:p>
          <w:p>
            <w:r>
              <w:rPr>
                <w:rStyle w:val="row-content"/>
                <w:b/>
              </w:rPr>
              <w:t xml:space="preserve">Data Source</w:t>
            </w:r>
          </w:p>
          <w:p>
            <w:hyperlink w:history="true" r:id="Rfbe6653119ca4a10">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3802f54b411a4f7d">
              <w:r>
                <w:rPr>
                  <w:rStyle w:val="Hyperlink"/>
                </w:rPr>
                <w:t xml:space="preserve">Person—self-reported visit to a hospital emergency department indicator, yes/no code N</w:t>
              </w:r>
            </w:hyperlink>
          </w:p>
          <w:p>
            <w:r>
              <w:rPr>
                <w:rStyle w:val="row-content"/>
                <w:b/>
              </w:rPr>
              <w:t xml:space="preserve">Data Source</w:t>
            </w:r>
          </w:p>
          <w:p>
            <w:hyperlink w:history="true" r:id="Rc18a9ea675d248fb">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aged 15 years and over who were enumerated within the Medicare Local catchment.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6c57a3ee0d84664">
              <w:r>
                <w:rPr>
                  <w:rStyle w:val="Hyperlink"/>
                </w:rPr>
                <w:t xml:space="preserve">Person—age, total years N[NN]</w:t>
              </w:r>
            </w:hyperlink>
          </w:p>
          <w:p>
            <w:r>
              <w:rPr>
                <w:rStyle w:val="row-content"/>
                <w:b/>
              </w:rPr>
              <w:t xml:space="preserve">Data Source</w:t>
            </w:r>
          </w:p>
          <w:p>
            <w:hyperlink w:history="true" r:id="Raa5af8d834b94533">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catchments and Medicare Local peer groups.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71233959ebd45da">
              <w:r>
                <w:rPr>
                  <w:rStyle w:val="Hyperlink"/>
                </w:rPr>
                <w:t xml:space="preserve">Administrative health region—Medicare Local identifier, code AANNN</w:t>
              </w:r>
            </w:hyperlink>
          </w:p>
          <w:p>
            <w:r>
              <w:rPr>
                <w:rStyle w:val="row-content"/>
                <w:b/>
                <w:color w:val="000000"/>
              </w:rPr>
              <w:t xml:space="preserve">Data Element / Data Set</w:t>
            </w:r>
          </w:p>
          <w:p>
            <w:hyperlink w:history="true" r:id="R0aef0563bd1e4389">
              <w:r>
                <w:rPr>
                  <w:rStyle w:val="Hyperlink"/>
                </w:rPr>
                <w:t xml:space="preserve">Administrative health region—Medicare Local peer group,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4e0424b0ffd4a4f">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8c04d2e92bb428a">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f0844ad6d4a4513">
              <w:r>
                <w:rPr>
                  <w:rStyle w:val="Hyperlink"/>
                </w:rPr>
                <w:t xml:space="preserve">National Health Performance Authority, Healthy Communities: Hospital emergency department visits, 2012–13 </w:t>
              </w:r>
            </w:hyperlink>
          </w:p>
          <w:p>
            <w:pPr>
              <w:spacing w:before="0" w:after="0"/>
            </w:pPr>
            <w:r>
              <w:rPr>
                <w:rStyle w:val="row-content"/>
                <w:color w:val="244061"/>
              </w:rPr>
              <w:t xml:space="preserve">       </w:t>
            </w:r>
            <w:hyperlink w:history="true" r:id="R970e94bf7c1a4215">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0e608cac180042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548002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fc6a26c76d49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608cac180042f9" /><Relationship Type="http://schemas.openxmlformats.org/officeDocument/2006/relationships/header" Target="/word/header1.xml" Id="R87282cac539140eb" /><Relationship Type="http://schemas.openxmlformats.org/officeDocument/2006/relationships/settings" Target="/word/settings.xml" Id="Rc78233a14dc344ad" /><Relationship Type="http://schemas.openxmlformats.org/officeDocument/2006/relationships/styles" Target="/word/styles.xml" Id="Rbd9d9478f50f4329" /><Relationship Type="http://schemas.openxmlformats.org/officeDocument/2006/relationships/hyperlink" Target="https://meteor.aihw.gov.au/RegistrationAuthority/8" TargetMode="External" Id="R0212cbd59a474eeb" /><Relationship Type="http://schemas.openxmlformats.org/officeDocument/2006/relationships/hyperlink" Target="https://meteor.aihw.gov.au/content/550329" TargetMode="External" Id="R96c32dd2707d4a36" /><Relationship Type="http://schemas.openxmlformats.org/officeDocument/2006/relationships/hyperlink" Target="https://meteor.aihw.gov.au/RegistrationAuthority/8" TargetMode="External" Id="Reafa183b277146ec" /><Relationship Type="http://schemas.openxmlformats.org/officeDocument/2006/relationships/numbering" Target="/word/numbering.xml" Id="R3e4385a87b314264" /><Relationship Type="http://schemas.openxmlformats.org/officeDocument/2006/relationships/hyperlink" Target="https://meteor.aihw.gov.au/content/303794" TargetMode="External" Id="Rea568f1422904b24" /><Relationship Type="http://schemas.openxmlformats.org/officeDocument/2006/relationships/hyperlink" Target="https://meteor.aihw.gov.au/content/394410" TargetMode="External" Id="Rfbe6653119ca4a10" /><Relationship Type="http://schemas.openxmlformats.org/officeDocument/2006/relationships/hyperlink" Target="https://meteor.aihw.gov.au/content/556914" TargetMode="External" Id="R3802f54b411a4f7d" /><Relationship Type="http://schemas.openxmlformats.org/officeDocument/2006/relationships/hyperlink" Target="https://meteor.aihw.gov.au/content/394410" TargetMode="External" Id="Rc18a9ea675d248fb" /><Relationship Type="http://schemas.openxmlformats.org/officeDocument/2006/relationships/hyperlink" Target="https://meteor.aihw.gov.au/content/303794" TargetMode="External" Id="Rd6c57a3ee0d84664" /><Relationship Type="http://schemas.openxmlformats.org/officeDocument/2006/relationships/hyperlink" Target="https://meteor.aihw.gov.au/content/394410" TargetMode="External" Id="Raa5af8d834b94533" /><Relationship Type="http://schemas.openxmlformats.org/officeDocument/2006/relationships/hyperlink" Target="https://meteor.aihw.gov.au/content/513288" TargetMode="External" Id="R571233959ebd45da" /><Relationship Type="http://schemas.openxmlformats.org/officeDocument/2006/relationships/hyperlink" Target="https://meteor.aihw.gov.au/content/550733" TargetMode="External" Id="R0aef0563bd1e4389" /><Relationship Type="http://schemas.openxmlformats.org/officeDocument/2006/relationships/hyperlink" Target="https://meteor.aihw.gov.au/content/554927" TargetMode="External" Id="R54e0424b0ffd4a4f" /><Relationship Type="http://schemas.openxmlformats.org/officeDocument/2006/relationships/hyperlink" Target="https://meteor.aihw.gov.au/content/394410" TargetMode="External" Id="R78c04d2e92bb428a" /><Relationship Type="http://schemas.openxmlformats.org/officeDocument/2006/relationships/hyperlink" Target="https://meteor.aihw.gov.au/content/601895" TargetMode="External" Id="Rbf0844ad6d4a4513" /><Relationship Type="http://schemas.openxmlformats.org/officeDocument/2006/relationships/hyperlink" Target="https://meteor.aihw.gov.au/RegistrationAuthority/8" TargetMode="External" Id="R970e94bf7c1a4215" /></Relationships>
</file>

<file path=word/_rels/header1.xml.rels>&#65279;<?xml version="1.0" encoding="utf-8"?><Relationships xmlns="http://schemas.openxmlformats.org/package/2006/relationships"><Relationship Type="http://schemas.openxmlformats.org/officeDocument/2006/relationships/image" Target="/media/image.png" Id="R0efc6a26c76d49e6" /></Relationships>
</file>