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7205383bd9b4530" /></Relationships>
</file>

<file path=word/document.xml><?xml version="1.0" encoding="utf-8"?>
<w:document xmlns:r="http://schemas.openxmlformats.org/officeDocument/2006/relationships" xmlns:w="http://schemas.openxmlformats.org/wordprocessingml/2006/main">
  <w:body>
    <w:p>
      <w:pPr>
        <w:pStyle w:val="Title"/>
      </w:pPr>
      <w:r>
        <w:t>Emergency department stay—urgency related group major diagnostic block, code N[AA]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stay—urgency related group major diagnostic block, code N[AA]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Urgency related group major diagnostic block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URG major diagnostic block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547612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f936c2efc524726">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w:t>
            </w:r>
            <w:hyperlink w:tooltip="A patient classification scheme which provides a means of relating the number and types of patients treated in an emergency department." w:history="true" r:id="Rbb26884662334971">
              <w:r>
                <w:rPr>
                  <w:rStyle w:val="Hyperlink"/>
                  <w:b/>
                </w:rPr>
                <w:t xml:space="preserve">urgency related group</w:t>
              </w:r>
            </w:hyperlink>
            <w:r>
              <w:rPr>
                <w:rStyle w:val="row-content-rich-text"/>
              </w:rPr>
              <w:t xml:space="preserve"> (URG) major diagnostic block category into which the patient's </w:t>
            </w:r>
          </w:p>
          <w:p>
            <w:hyperlink w:tooltip="An emergency department provides triage, assessment, care and/or treatment for patients suffering from medical condition/s and/or injury." w:history="true" r:id="R7a2fba2449554d37">
              <w:r>
                <w:rPr>
                  <w:rStyle w:val="Hyperlink"/>
                  <w:b/>
                </w:rPr>
                <w:t xml:space="preserve">emergency department</w:t>
              </w:r>
            </w:hyperlink>
            <w:r>
              <w:rPr>
                <w:rStyle w:val="row-content-rich-text"/>
              </w:rPr>
              <w:t xml:space="preserve"> diagnosis is grouped,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6a3e6b3aac44c14">
              <w:r>
                <w:rPr>
                  <w:rStyle w:val="Hyperlink"/>
                </w:rPr>
                <w:t xml:space="preserve">Emergency department stay—urgency related group major diagnostic block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58fba5529ab457f">
              <w:r>
                <w:rPr>
                  <w:rStyle w:val="Hyperlink"/>
                </w:rPr>
                <w:t xml:space="preserve">Urgency related group major diagnostic block code N[AA]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Poisoning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1C</w:t>
            </w:r>
          </w:p>
        </w:tc>
        <w:tc>
          <w:tcPr>
            <w:tcBorders>
              <w:top w:val="none" w:color="000000" w:sz="0"/>
              <w:left w:val="none" w:color="000000" w:sz="0"/>
              <w:bottom w:val="none" w:color="000000" w:sz="0"/>
              <w:right w:val="none" w:color="000000" w:sz="0"/>
            </w:tcBorders>
            <w:vAlign w:val="top"/>
          </w:tcPr>
          <w:p>
            <w:r>
              <w:t xml:space="preserve">Drug reaction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1D</w:t>
            </w:r>
          </w:p>
        </w:tc>
        <w:tc>
          <w:tcPr>
            <w:tcBorders>
              <w:top w:val="none" w:color="000000" w:sz="0"/>
              <w:left w:val="none" w:color="000000" w:sz="0"/>
              <w:bottom w:val="none" w:color="000000" w:sz="0"/>
              <w:right w:val="none" w:color="000000" w:sz="0"/>
            </w:tcBorders>
            <w:vAlign w:val="top"/>
          </w:tcPr>
          <w:p>
            <w:r>
              <w:t xml:space="preserve">Alcohol/drug abuse and alcohol/drug induced mental disorders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2A</w:t>
            </w:r>
          </w:p>
        </w:tc>
        <w:tc>
          <w:tcPr>
            <w:tcBorders>
              <w:top w:val="none" w:color="000000" w:sz="0"/>
              <w:left w:val="none" w:color="000000" w:sz="0"/>
              <w:bottom w:val="none" w:color="000000" w:sz="0"/>
              <w:right w:val="none" w:color="000000" w:sz="0"/>
            </w:tcBorders>
            <w:vAlign w:val="top"/>
          </w:tcPr>
          <w:p>
            <w:r>
              <w:t xml:space="preserve">Injury, multiple sites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2B</w:t>
            </w:r>
          </w:p>
        </w:tc>
        <w:tc>
          <w:tcPr>
            <w:tcBorders>
              <w:top w:val="none" w:color="000000" w:sz="0"/>
              <w:left w:val="none" w:color="000000" w:sz="0"/>
              <w:bottom w:val="none" w:color="000000" w:sz="0"/>
              <w:right w:val="none" w:color="000000" w:sz="0"/>
            </w:tcBorders>
            <w:vAlign w:val="top"/>
          </w:tcPr>
          <w:p>
            <w:r>
              <w:t xml:space="preserve">Injury, single site, major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2Ba</w:t>
            </w:r>
          </w:p>
        </w:tc>
        <w:tc>
          <w:tcPr>
            <w:tcBorders>
              <w:top w:val="none" w:color="000000" w:sz="0"/>
              <w:left w:val="none" w:color="000000" w:sz="0"/>
              <w:bottom w:val="none" w:color="000000" w:sz="0"/>
              <w:right w:val="none" w:color="000000" w:sz="0"/>
            </w:tcBorders>
            <w:vAlign w:val="top"/>
          </w:tcPr>
          <w:p>
            <w:r>
              <w:t xml:space="preserve">Injury, single site, minor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3A</w:t>
            </w:r>
          </w:p>
        </w:tc>
        <w:tc>
          <w:tcPr>
            <w:tcBorders>
              <w:top w:val="none" w:color="000000" w:sz="0"/>
              <w:left w:val="none" w:color="000000" w:sz="0"/>
              <w:bottom w:val="none" w:color="000000" w:sz="0"/>
              <w:right w:val="none" w:color="000000" w:sz="0"/>
            </w:tcBorders>
            <w:vAlign w:val="top"/>
          </w:tcPr>
          <w:p>
            <w:r>
              <w:t xml:space="preserve">Circulatory system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3B</w:t>
            </w:r>
          </w:p>
        </w:tc>
        <w:tc>
          <w:tcPr>
            <w:tcBorders>
              <w:top w:val="none" w:color="000000" w:sz="0"/>
              <w:left w:val="none" w:color="000000" w:sz="0"/>
              <w:bottom w:val="none" w:color="000000" w:sz="0"/>
              <w:right w:val="none" w:color="000000" w:sz="0"/>
            </w:tcBorders>
            <w:vAlign w:val="top"/>
          </w:tcPr>
          <w:p>
            <w:r>
              <w:t xml:space="preserve">Respiratory system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3C</w:t>
            </w:r>
          </w:p>
        </w:tc>
        <w:tc>
          <w:tcPr>
            <w:tcBorders>
              <w:top w:val="none" w:color="000000" w:sz="0"/>
              <w:left w:val="none" w:color="000000" w:sz="0"/>
              <w:bottom w:val="none" w:color="000000" w:sz="0"/>
              <w:right w:val="none" w:color="000000" w:sz="0"/>
            </w:tcBorders>
            <w:vAlign w:val="top"/>
          </w:tcPr>
          <w:p>
            <w:r>
              <w:t xml:space="preserve">Digestive system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3D</w:t>
            </w:r>
          </w:p>
        </w:tc>
        <w:tc>
          <w:tcPr>
            <w:tcBorders>
              <w:top w:val="none" w:color="000000" w:sz="0"/>
              <w:left w:val="none" w:color="000000" w:sz="0"/>
              <w:bottom w:val="none" w:color="000000" w:sz="0"/>
              <w:right w:val="none" w:color="000000" w:sz="0"/>
            </w:tcBorders>
            <w:vAlign w:val="top"/>
          </w:tcPr>
          <w:p>
            <w:r>
              <w:t xml:space="preserve">Urological system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3E</w:t>
            </w:r>
          </w:p>
        </w:tc>
        <w:tc>
          <w:tcPr>
            <w:tcBorders>
              <w:top w:val="none" w:color="000000" w:sz="0"/>
              <w:left w:val="none" w:color="000000" w:sz="0"/>
              <w:bottom w:val="none" w:color="000000" w:sz="0"/>
              <w:right w:val="none" w:color="000000" w:sz="0"/>
            </w:tcBorders>
            <w:vAlign w:val="top"/>
          </w:tcPr>
          <w:p>
            <w:r>
              <w:t xml:space="preserve">Neurological system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3F</w:t>
            </w:r>
          </w:p>
        </w:tc>
        <w:tc>
          <w:tcPr>
            <w:tcBorders>
              <w:top w:val="none" w:color="000000" w:sz="0"/>
              <w:left w:val="none" w:color="000000" w:sz="0"/>
              <w:bottom w:val="none" w:color="000000" w:sz="0"/>
              <w:right w:val="none" w:color="000000" w:sz="0"/>
            </w:tcBorders>
            <w:vAlign w:val="top"/>
          </w:tcPr>
          <w:p>
            <w:r>
              <w:t xml:space="preserve">Illness of the 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3G</w:t>
            </w:r>
          </w:p>
        </w:tc>
        <w:tc>
          <w:tcPr>
            <w:tcBorders>
              <w:top w:val="none" w:color="000000" w:sz="0"/>
              <w:left w:val="none" w:color="000000" w:sz="0"/>
              <w:bottom w:val="none" w:color="000000" w:sz="0"/>
              <w:right w:val="none" w:color="000000" w:sz="0"/>
            </w:tcBorders>
            <w:vAlign w:val="top"/>
          </w:tcPr>
          <w:p>
            <w:r>
              <w:t xml:space="preserve">Illness of the ear, nose and throat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3H</w:t>
            </w:r>
          </w:p>
        </w:tc>
        <w:tc>
          <w:tcPr>
            <w:tcBorders>
              <w:top w:val="none" w:color="000000" w:sz="0"/>
              <w:left w:val="none" w:color="000000" w:sz="0"/>
              <w:bottom w:val="none" w:color="000000" w:sz="0"/>
              <w:right w:val="none" w:color="000000" w:sz="0"/>
            </w:tcBorders>
            <w:vAlign w:val="top"/>
          </w:tcPr>
          <w:p>
            <w:r>
              <w:t xml:space="preserve">Musculoskeletal/connective tissue system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3I</w:t>
            </w:r>
          </w:p>
        </w:tc>
        <w:tc>
          <w:tcPr>
            <w:tcBorders>
              <w:top w:val="none" w:color="000000" w:sz="0"/>
              <w:left w:val="none" w:color="000000" w:sz="0"/>
              <w:bottom w:val="none" w:color="000000" w:sz="0"/>
              <w:right w:val="none" w:color="000000" w:sz="0"/>
            </w:tcBorders>
            <w:vAlign w:val="top"/>
          </w:tcPr>
          <w:p>
            <w:r>
              <w:t xml:space="preserve">Illness of skin, subcutaneous tissue, breast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3J</w:t>
            </w:r>
          </w:p>
        </w:tc>
        <w:tc>
          <w:tcPr>
            <w:tcBorders>
              <w:top w:val="none" w:color="000000" w:sz="0"/>
              <w:left w:val="none" w:color="000000" w:sz="0"/>
              <w:bottom w:val="none" w:color="000000" w:sz="0"/>
              <w:right w:val="none" w:color="000000" w:sz="0"/>
            </w:tcBorders>
            <w:vAlign w:val="top"/>
          </w:tcPr>
          <w:p>
            <w:r>
              <w:t xml:space="preserve">Blood/immune system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3K</w:t>
            </w:r>
          </w:p>
        </w:tc>
        <w:tc>
          <w:tcPr>
            <w:tcBorders>
              <w:top w:val="none" w:color="000000" w:sz="0"/>
              <w:left w:val="none" w:color="000000" w:sz="0"/>
              <w:bottom w:val="none" w:color="000000" w:sz="0"/>
              <w:right w:val="none" w:color="000000" w:sz="0"/>
            </w:tcBorders>
            <w:vAlign w:val="top"/>
          </w:tcPr>
          <w:p>
            <w:r>
              <w:t xml:space="preserve">Obstetric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3L</w:t>
            </w:r>
          </w:p>
        </w:tc>
        <w:tc>
          <w:tcPr>
            <w:tcBorders>
              <w:top w:val="none" w:color="000000" w:sz="0"/>
              <w:left w:val="none" w:color="000000" w:sz="0"/>
              <w:bottom w:val="none" w:color="000000" w:sz="0"/>
              <w:right w:val="none" w:color="000000" w:sz="0"/>
            </w:tcBorders>
            <w:vAlign w:val="top"/>
          </w:tcPr>
          <w:p>
            <w:r>
              <w:t xml:space="preserve">Gynaecological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3M</w:t>
            </w:r>
          </w:p>
        </w:tc>
        <w:tc>
          <w:tcPr>
            <w:tcBorders>
              <w:top w:val="none" w:color="000000" w:sz="0"/>
              <w:left w:val="none" w:color="000000" w:sz="0"/>
              <w:bottom w:val="none" w:color="000000" w:sz="0"/>
              <w:right w:val="none" w:color="000000" w:sz="0"/>
            </w:tcBorders>
            <w:vAlign w:val="top"/>
          </w:tcPr>
          <w:p>
            <w:r>
              <w:t xml:space="preserve">Male reproductive system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3N</w:t>
            </w:r>
          </w:p>
        </w:tc>
        <w:tc>
          <w:tcPr>
            <w:tcBorders>
              <w:top w:val="none" w:color="000000" w:sz="0"/>
              <w:left w:val="none" w:color="000000" w:sz="0"/>
              <w:bottom w:val="none" w:color="000000" w:sz="0"/>
              <w:right w:val="none" w:color="000000" w:sz="0"/>
            </w:tcBorders>
            <w:vAlign w:val="top"/>
          </w:tcPr>
          <w:p>
            <w:r>
              <w:t xml:space="preserve">System infection/parasites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3O</w:t>
            </w:r>
          </w:p>
        </w:tc>
        <w:tc>
          <w:tcPr>
            <w:tcBorders>
              <w:top w:val="none" w:color="000000" w:sz="0"/>
              <w:left w:val="none" w:color="000000" w:sz="0"/>
              <w:bottom w:val="none" w:color="000000" w:sz="0"/>
              <w:right w:val="none" w:color="000000" w:sz="0"/>
            </w:tcBorders>
            <w:vAlign w:val="top"/>
          </w:tcPr>
          <w:p>
            <w:r>
              <w:t xml:space="preserve">Illness of other and unknown systems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3P</w:t>
            </w:r>
          </w:p>
        </w:tc>
        <w:tc>
          <w:tcPr>
            <w:tcBorders>
              <w:top w:val="none" w:color="000000" w:sz="0"/>
              <w:left w:val="none" w:color="000000" w:sz="0"/>
              <w:bottom w:val="none" w:color="000000" w:sz="0"/>
              <w:right w:val="none" w:color="000000" w:sz="0"/>
            </w:tcBorders>
            <w:vAlign w:val="top"/>
          </w:tcPr>
          <w:p>
            <w:r>
              <w:t xml:space="preserve">Newborn/neonate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3Q</w:t>
            </w:r>
          </w:p>
        </w:tc>
        <w:tc>
          <w:tcPr>
            <w:tcBorders>
              <w:top w:val="none" w:color="000000" w:sz="0"/>
              <w:left w:val="none" w:color="000000" w:sz="0"/>
              <w:bottom w:val="none" w:color="000000" w:sz="0"/>
              <w:right w:val="none" w:color="000000" w:sz="0"/>
            </w:tcBorders>
            <w:vAlign w:val="top"/>
          </w:tcPr>
          <w:p>
            <w:r>
              <w:t xml:space="preserve">Hepatobiliary system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3R</w:t>
            </w:r>
          </w:p>
        </w:tc>
        <w:tc>
          <w:tcPr>
            <w:tcBorders>
              <w:top w:val="none" w:color="000000" w:sz="0"/>
              <w:left w:val="none" w:color="000000" w:sz="0"/>
              <w:bottom w:val="none" w:color="000000" w:sz="0"/>
              <w:right w:val="none" w:color="000000" w:sz="0"/>
            </w:tcBorders>
            <w:vAlign w:val="top"/>
          </w:tcPr>
          <w:p>
            <w:r>
              <w:t xml:space="preserve">Endocrine, nutritional and metabolic system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3S</w:t>
            </w:r>
          </w:p>
        </w:tc>
        <w:tc>
          <w:tcPr>
            <w:tcBorders>
              <w:top w:val="none" w:color="000000" w:sz="0"/>
              <w:left w:val="none" w:color="000000" w:sz="0"/>
              <w:bottom w:val="none" w:color="000000" w:sz="0"/>
              <w:right w:val="none" w:color="000000" w:sz="0"/>
            </w:tcBorders>
            <w:vAlign w:val="top"/>
          </w:tcPr>
          <w:p>
            <w:r>
              <w:t xml:space="preserve">Allergy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Psychiatric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Social problem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Other presentation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Jelinek G 1994. Case-mix Classification of Patients Attending Hospital Emergency Departments in Perth Western Australia. Doctor of Medicine Thesis. Perth: University of Western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213cad615384257">
              <w:r>
                <w:rPr>
                  <w:rStyle w:val="Hyperlink"/>
                </w:rPr>
                <w:t xml:space="preserve">Emergency department stay—urgency related group major diagnostic block, code N[AA]</w:t>
              </w:r>
            </w:hyperlink>
          </w:p>
          <w:p>
            <w:pPr>
              <w:spacing w:before="0" w:after="0"/>
            </w:pPr>
            <w:r>
              <w:rPr>
                <w:rStyle w:val="row-content"/>
                <w:color w:val="244061"/>
              </w:rPr>
              <w:t xml:space="preserve">       </w:t>
            </w:r>
            <w:hyperlink w:history="true" r:id="R2153abe9462d46db">
              <w:r>
                <w:rPr>
                  <w:rStyle w:val="Hyperlink"/>
                  <w:color w:val="244061"/>
                </w:rPr>
                <w:t xml:space="preserve">Health</w:t>
              </w:r>
            </w:hyperlink>
            <w:r>
              <w:rPr>
                <w:rStyle w:val="row-content"/>
                <w:color w:val="244061"/>
              </w:rPr>
              <w:t xml:space="preserve">, Superseded 11/04/2014</w:t>
            </w:r>
          </w:p>
          <w:p>
            <w:pPr>
              <w:spacing w:before="0" w:after="0"/>
            </w:pPr>
            <w:r>
              <w:rPr>
                <w:rStyle w:val="row-content"/>
                <w:color w:val="244061"/>
              </w:rPr>
              <w:t xml:space="preserve">       </w:t>
            </w:r>
            <w:hyperlink w:history="true" r:id="R5f1c9f0ceae543bb">
              <w:r>
                <w:rPr>
                  <w:rStyle w:val="Hyperlink"/>
                  <w:color w:val="244061"/>
                </w:rPr>
                <w:t xml:space="preserve">Independent Hospital Pricing Authority</w:t>
              </w:r>
            </w:hyperlink>
            <w:r>
              <w:rPr>
                <w:rStyle w:val="row-content"/>
                <w:color w:val="244061"/>
              </w:rPr>
              <w:t xml:space="preserve">, Standard 31/10/2012</w:t>
            </w:r>
          </w:p>
          <w:p>
            <w:r>
              <w:br/>
            </w:r>
            <w:r>
              <w:rPr>
                <w:rStyle w:val="row-content"/>
              </w:rPr>
              <w:t xml:space="preserve">Has been superseded by </w:t>
            </w:r>
            <w:hyperlink w:history="true" r:id="R0db47ea258f84ebf">
              <w:r>
                <w:rPr>
                  <w:rStyle w:val="Hyperlink"/>
                </w:rPr>
                <w:t xml:space="preserve">Emergency department stay—urgency related group major diagnostic block, code N[AA]</w:t>
              </w:r>
            </w:hyperlink>
          </w:p>
          <w:p>
            <w:pPr>
              <w:spacing w:before="0" w:after="0"/>
            </w:pPr>
            <w:r>
              <w:rPr>
                <w:rStyle w:val="row-content"/>
                <w:color w:val="244061"/>
              </w:rPr>
              <w:t xml:space="preserve">       </w:t>
            </w:r>
            <w:hyperlink w:history="true" r:id="Ra49047fae9ab4ae1">
              <w:r>
                <w:rPr>
                  <w:rStyle w:val="Hyperlink"/>
                  <w:color w:val="244061"/>
                </w:rPr>
                <w:t xml:space="preserve">Health</w:t>
              </w:r>
            </w:hyperlink>
            <w:r>
              <w:rPr>
                <w:rStyle w:val="row-content"/>
                <w:color w:val="244061"/>
              </w:rPr>
              <w:t xml:space="preserve">, Standard 25/01/2018</w:t>
            </w:r>
          </w:p>
          <w:p>
            <w:pPr>
              <w:spacing w:before="0" w:after="0"/>
            </w:pPr>
            <w:r>
              <w:rPr>
                <w:rStyle w:val="row-content"/>
                <w:color w:val="244061"/>
              </w:rPr>
              <w:t xml:space="preserve">       </w:t>
            </w:r>
            <w:hyperlink w:history="true" r:id="R8f341fc570b042ca">
              <w:r>
                <w:rPr>
                  <w:rStyle w:val="Hyperlink"/>
                  <w:color w:val="244061"/>
                </w:rPr>
                <w:t xml:space="preserve">Tasmanian Health</w:t>
              </w:r>
            </w:hyperlink>
            <w:r>
              <w:rPr>
                <w:rStyle w:val="row-content"/>
                <w:color w:val="244061"/>
              </w:rPr>
              <w:t xml:space="preserve">, Standard 05/06/2020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4da21032cc34257">
              <w:r>
                <w:rPr>
                  <w:rStyle w:val="Hyperlink"/>
                </w:rPr>
                <w:t xml:space="preserve">Non-admitted patient emergency department care DSS 2014-15</w:t>
              </w:r>
            </w:hyperlink>
          </w:p>
          <w:p>
            <w:pPr>
              <w:spacing w:before="0" w:after="0"/>
            </w:pPr>
            <w:r>
              <w:rPr>
                <w:rStyle w:val="row-content"/>
                <w:color w:val="244061"/>
              </w:rPr>
              <w:t xml:space="preserve">       </w:t>
            </w:r>
            <w:hyperlink w:history="true" r:id="Rc6de58445396469b">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87fb002340f74a65">
              <w:r>
                <w:rPr>
                  <w:rStyle w:val="Hyperlink"/>
                </w:rPr>
                <w:t xml:space="preserve">Non-admitted patient emergency department care DSS 2015-16</w:t>
              </w:r>
            </w:hyperlink>
          </w:p>
          <w:p>
            <w:pPr>
              <w:spacing w:before="0" w:after="0"/>
            </w:pPr>
            <w:r>
              <w:rPr>
                <w:rStyle w:val="row-content"/>
                <w:color w:val="244061"/>
              </w:rPr>
              <w:t xml:space="preserve">       </w:t>
            </w:r>
            <w:hyperlink w:history="true" r:id="R0f8feddc35864975">
              <w:r>
                <w:rPr>
                  <w:rStyle w:val="Hyperlink"/>
                  <w:color w:val="244061"/>
                </w:rPr>
                <w:t xml:space="preserve">Health</w:t>
              </w:r>
            </w:hyperlink>
            <w:r>
              <w:rPr>
                <w:rStyle w:val="row-content"/>
                <w:color w:val="244061"/>
              </w:rPr>
              <w:t xml:space="preserve">, Superseded 02/12/2015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a39632998e55450e">
              <w:r>
                <w:rPr>
                  <w:rStyle w:val="Hyperlink"/>
                </w:rPr>
                <w:t xml:space="preserve">Non-admitted patient emergency department care NBEDS 2016-17</w:t>
              </w:r>
            </w:hyperlink>
          </w:p>
          <w:p>
            <w:pPr>
              <w:spacing w:before="0" w:after="0"/>
            </w:pPr>
            <w:r>
              <w:rPr>
                <w:rStyle w:val="row-content"/>
                <w:color w:val="244061"/>
              </w:rPr>
              <w:t xml:space="preserve">       </w:t>
            </w:r>
            <w:hyperlink w:history="true" r:id="R63722ac540654a26">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This data element uses the patient's principal diagnosis, as reported using the </w:t>
            </w:r>
            <w:r>
              <w:rPr>
                <w:rStyle w:val="row-content"/>
                <w:i/>
              </w:rPr>
              <w:t xml:space="preserve">Emergency department stay—principal diagnosis, code X[X(8)]</w:t>
            </w:r>
            <w:r>
              <w:rPr>
                <w:rStyle w:val="row-content"/>
              </w:rPr>
              <w:t xml:space="preserve"> data element in this DSS. The principal diagnosis code is then grouped to a major diagnostic block.</w:t>
            </w:r>
          </w:p>
          <w:p>
            <w:r>
              <w:br/>
            </w:r>
            <w:r>
              <w:br/>
            </w:r>
            <w:hyperlink w:history="true" r:id="Rbf55e0e30c1b4940">
              <w:r>
                <w:rPr>
                  <w:rStyle w:val="Hyperlink"/>
                </w:rPr>
                <w:t xml:space="preserve">Non-admitted patient emergency department care NBEDS 2017-18</w:t>
              </w:r>
            </w:hyperlink>
          </w:p>
          <w:p>
            <w:pPr>
              <w:spacing w:before="0" w:after="0"/>
            </w:pPr>
            <w:r>
              <w:rPr>
                <w:rStyle w:val="row-content"/>
                <w:color w:val="244061"/>
              </w:rPr>
              <w:t xml:space="preserve">       </w:t>
            </w:r>
            <w:hyperlink w:history="true" r:id="Rb3abc49fab3b4975">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This data element uses the patient's principal diagnosis, as reported using the </w:t>
            </w:r>
            <w:r>
              <w:rPr>
                <w:rStyle w:val="row-content"/>
                <w:i/>
              </w:rPr>
              <w:t xml:space="preserve">Emergency department stay—principal diagnosis, code X[X(8)]</w:t>
            </w:r>
            <w:r>
              <w:rPr>
                <w:rStyle w:val="row-content"/>
              </w:rPr>
              <w:t xml:space="preserve"> data element in this DSS. The principal diagnosis code is then grouped to a major diagnostic block.</w:t>
            </w:r>
          </w:p>
          <w:p>
            <w:r>
              <w:br/>
            </w:r>
            <w:r>
              <w:br/>
            </w:r>
            <w:hyperlink w:history="true" r:id="Rbac394b1278446cb">
              <w:r>
                <w:rPr>
                  <w:rStyle w:val="Hyperlink"/>
                </w:rPr>
                <w:t xml:space="preserve">Non-admitted patient emergency department care NMDS 2014-15</w:t>
              </w:r>
            </w:hyperlink>
          </w:p>
          <w:p>
            <w:pPr>
              <w:spacing w:before="0" w:after="0"/>
            </w:pPr>
            <w:r>
              <w:rPr>
                <w:rStyle w:val="row-content"/>
                <w:color w:val="244061"/>
              </w:rPr>
              <w:t xml:space="preserve">       </w:t>
            </w:r>
            <w:hyperlink w:history="true" r:id="Ra6bf158b066541e1">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90b3725e32884d47">
              <w:r>
                <w:rPr>
                  <w:rStyle w:val="Hyperlink"/>
                </w:rPr>
                <w:t xml:space="preserve">Non-admitted patient emergency department care NMDS 2015-16</w:t>
              </w:r>
            </w:hyperlink>
          </w:p>
          <w:p>
            <w:pPr>
              <w:spacing w:before="0" w:after="0"/>
            </w:pPr>
            <w:r>
              <w:rPr>
                <w:rStyle w:val="row-content"/>
                <w:color w:val="244061"/>
              </w:rPr>
              <w:t xml:space="preserve">       </w:t>
            </w:r>
            <w:hyperlink w:history="true" r:id="Rff8530d2d9524592">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eb8b3317a39e4278">
              <w:r>
                <w:rPr>
                  <w:rStyle w:val="Hyperlink"/>
                </w:rPr>
                <w:t xml:space="preserve">Non-admitted patient emergency department care NMDS 2016-17</w:t>
              </w:r>
            </w:hyperlink>
          </w:p>
          <w:p>
            <w:pPr>
              <w:spacing w:before="0" w:after="0"/>
            </w:pPr>
            <w:r>
              <w:rPr>
                <w:rStyle w:val="row-content"/>
                <w:color w:val="244061"/>
              </w:rPr>
              <w:t xml:space="preserve">       </w:t>
            </w:r>
            <w:hyperlink w:history="true" r:id="Rd669afa564fc4150">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This data element uses the patient's principal diagnosis, as reported using the Emergency </w:t>
            </w:r>
            <w:r>
              <w:rPr>
                <w:rStyle w:val="row-content"/>
                <w:i/>
              </w:rPr>
              <w:t xml:space="preserve">department stay—principal diagnosis, code X[X(8)]</w:t>
            </w:r>
            <w:r>
              <w:rPr>
                <w:rStyle w:val="row-content"/>
              </w:rPr>
              <w:t xml:space="preserve"> data element in this NMDS. The principal diagnosis code is then grouped to a major diagnostic block.</w:t>
            </w:r>
          </w:p>
          <w:p>
            <w:r>
              <w:br/>
            </w:r>
            <w:r>
              <w:br/>
            </w:r>
            <w:hyperlink w:history="true" r:id="R5369056a4e3c429f">
              <w:r>
                <w:rPr>
                  <w:rStyle w:val="Hyperlink"/>
                </w:rPr>
                <w:t xml:space="preserve">Non-admitted patient emergency department care NMDS 2017-18</w:t>
              </w:r>
            </w:hyperlink>
          </w:p>
          <w:p>
            <w:pPr>
              <w:spacing w:before="0" w:after="0"/>
            </w:pPr>
            <w:r>
              <w:rPr>
                <w:rStyle w:val="row-content"/>
                <w:color w:val="244061"/>
              </w:rPr>
              <w:t xml:space="preserve">       </w:t>
            </w:r>
            <w:hyperlink w:history="true" r:id="R25e04d569b6b48b4">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This data element uses the patient's principal diagnosis, as reported using the Emergency </w:t>
            </w:r>
            <w:r>
              <w:rPr>
                <w:rStyle w:val="row-content"/>
                <w:i/>
              </w:rPr>
              <w:t xml:space="preserve">department stay—principal diagnosis, code X[X(8)]</w:t>
            </w:r>
            <w:r>
              <w:rPr>
                <w:rStyle w:val="row-content"/>
              </w:rPr>
              <w:t xml:space="preserve"> data element in this NMDS. The principal diagnosis code is then grouped to a major diagnostic block.</w:t>
            </w:r>
          </w:p>
          <w:p>
            <w:r>
              <w:br/>
            </w:r>
            <w:r>
              <w:br/>
            </w:r>
          </w:p>
        </w:tc>
      </w:tr>
    </w:tbl>
    <w:p/>
    <w:tbl>
      <w:tblPr>
        <w:tblStyle w:val="TableGrid"/>
        <w:tblW w:w="0" w:type="auto"/>
      </w:tblPr>
    </w:tbl>
    <w:p>
      <w:r>
        <w:br/>
      </w:r>
    </w:p>
    <w:sectPr>
      <w:footerReference xmlns:r="http://schemas.openxmlformats.org/officeDocument/2006/relationships" w:type="default" r:id="R913e47ce8e38427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547612</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549489dbbc143c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13e47ce8e38427a" /><Relationship Type="http://schemas.openxmlformats.org/officeDocument/2006/relationships/header" Target="/word/header1.xml" Id="R958206d3120d4c70" /><Relationship Type="http://schemas.openxmlformats.org/officeDocument/2006/relationships/settings" Target="/word/settings.xml" Id="R125bc57c99f84fac" /><Relationship Type="http://schemas.openxmlformats.org/officeDocument/2006/relationships/styles" Target="/word/styles.xml" Id="Reff6590365d04487" /><Relationship Type="http://schemas.openxmlformats.org/officeDocument/2006/relationships/hyperlink" Target="https://meteor.aihw.gov.au/RegistrationAuthority/12" TargetMode="External" Id="Ref936c2efc524726" /><Relationship Type="http://schemas.openxmlformats.org/officeDocument/2006/relationships/hyperlink" Target="https://meteor.aihw.gov.au/content/496744" TargetMode="External" Id="Rbb26884662334971" /><Relationship Type="http://schemas.openxmlformats.org/officeDocument/2006/relationships/hyperlink" Target="https://meteor.aihw.gov.au/content/327158" TargetMode="External" Id="R7a2fba2449554d37" /><Relationship Type="http://schemas.openxmlformats.org/officeDocument/2006/relationships/hyperlink" Target="https://meteor.aihw.gov.au/content/449583" TargetMode="External" Id="R36a3e6b3aac44c14" /><Relationship Type="http://schemas.openxmlformats.org/officeDocument/2006/relationships/hyperlink" Target="https://meteor.aihw.gov.au/content/547609" TargetMode="External" Id="Rd58fba5529ab457f" /><Relationship Type="http://schemas.openxmlformats.org/officeDocument/2006/relationships/hyperlink" Target="https://meteor.aihw.gov.au/content/449585" TargetMode="External" Id="Rc213cad615384257" /><Relationship Type="http://schemas.openxmlformats.org/officeDocument/2006/relationships/hyperlink" Target="https://meteor.aihw.gov.au/RegistrationAuthority/12" TargetMode="External" Id="R2153abe9462d46db" /><Relationship Type="http://schemas.openxmlformats.org/officeDocument/2006/relationships/hyperlink" Target="https://meteor.aihw.gov.au/RegistrationAuthority/3" TargetMode="External" Id="R5f1c9f0ceae543bb" /><Relationship Type="http://schemas.openxmlformats.org/officeDocument/2006/relationships/hyperlink" Target="https://meteor.aihw.gov.au/content/684509" TargetMode="External" Id="R0db47ea258f84ebf" /><Relationship Type="http://schemas.openxmlformats.org/officeDocument/2006/relationships/hyperlink" Target="https://meteor.aihw.gov.au/RegistrationAuthority/12" TargetMode="External" Id="Ra49047fae9ab4ae1" /><Relationship Type="http://schemas.openxmlformats.org/officeDocument/2006/relationships/hyperlink" Target="https://meteor.aihw.gov.au/RegistrationAuthority/15" TargetMode="External" Id="R8f341fc570b042ca" /><Relationship Type="http://schemas.openxmlformats.org/officeDocument/2006/relationships/hyperlink" Target="https://meteor.aihw.gov.au/content/567462" TargetMode="External" Id="R54da21032cc34257" /><Relationship Type="http://schemas.openxmlformats.org/officeDocument/2006/relationships/hyperlink" Target="https://meteor.aihw.gov.au/RegistrationAuthority/12" TargetMode="External" Id="Rc6de58445396469b" /><Relationship Type="http://schemas.openxmlformats.org/officeDocument/2006/relationships/hyperlink" Target="https://meteor.aihw.gov.au/content/590675" TargetMode="External" Id="R87fb002340f74a65" /><Relationship Type="http://schemas.openxmlformats.org/officeDocument/2006/relationships/hyperlink" Target="https://meteor.aihw.gov.au/RegistrationAuthority/12" TargetMode="External" Id="R0f8feddc35864975" /><Relationship Type="http://schemas.openxmlformats.org/officeDocument/2006/relationships/hyperlink" Target="https://meteor.aihw.gov.au/content/617933" TargetMode="External" Id="Ra39632998e55450e" /><Relationship Type="http://schemas.openxmlformats.org/officeDocument/2006/relationships/hyperlink" Target="https://meteor.aihw.gov.au/RegistrationAuthority/12" TargetMode="External" Id="R63722ac540654a26" /><Relationship Type="http://schemas.openxmlformats.org/officeDocument/2006/relationships/hyperlink" Target="https://meteor.aihw.gov.au/content/655704" TargetMode="External" Id="Rbf55e0e30c1b4940" /><Relationship Type="http://schemas.openxmlformats.org/officeDocument/2006/relationships/hyperlink" Target="https://meteor.aihw.gov.au/RegistrationAuthority/12" TargetMode="External" Id="Rb3abc49fab3b4975" /><Relationship Type="http://schemas.openxmlformats.org/officeDocument/2006/relationships/hyperlink" Target="https://meteor.aihw.gov.au/content/566909" TargetMode="External" Id="Rbac394b1278446cb" /><Relationship Type="http://schemas.openxmlformats.org/officeDocument/2006/relationships/hyperlink" Target="https://meteor.aihw.gov.au/RegistrationAuthority/12" TargetMode="External" Id="Ra6bf158b066541e1" /><Relationship Type="http://schemas.openxmlformats.org/officeDocument/2006/relationships/hyperlink" Target="https://meteor.aihw.gov.au/content/588932" TargetMode="External" Id="R90b3725e32884d47" /><Relationship Type="http://schemas.openxmlformats.org/officeDocument/2006/relationships/hyperlink" Target="https://meteor.aihw.gov.au/RegistrationAuthority/12" TargetMode="External" Id="Rff8530d2d9524592" /><Relationship Type="http://schemas.openxmlformats.org/officeDocument/2006/relationships/hyperlink" Target="https://meteor.aihw.gov.au/content/612346" TargetMode="External" Id="Reb8b3317a39e4278" /><Relationship Type="http://schemas.openxmlformats.org/officeDocument/2006/relationships/hyperlink" Target="https://meteor.aihw.gov.au/RegistrationAuthority/12" TargetMode="External" Id="Rd669afa564fc4150" /><Relationship Type="http://schemas.openxmlformats.org/officeDocument/2006/relationships/hyperlink" Target="https://meteor.aihw.gov.au/content/651856" TargetMode="External" Id="R5369056a4e3c429f" /><Relationship Type="http://schemas.openxmlformats.org/officeDocument/2006/relationships/hyperlink" Target="https://meteor.aihw.gov.au/RegistrationAuthority/12" TargetMode="External" Id="R25e04d569b6b48b4" /></Relationships>
</file>

<file path=word/_rels/header1.xml.rels>&#65279;<?xml version="1.0" encoding="utf-8"?><Relationships xmlns="http://schemas.openxmlformats.org/package/2006/relationships"><Relationship Type="http://schemas.openxmlformats.org/officeDocument/2006/relationships/image" Target="/media/image.png" Id="R9549489dbbc143ca" /></Relationships>
</file>