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fe1842d9ca48d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an allied health professional or nurse,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an allied health professional or nurse,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an allied health professional or nurse,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5f0a9d0b54e2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who saw an allied health professional or nurse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e101004c1b403e">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6e366db12b52479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was calculated using data from the National Health Survey (NHS) 2011–12.</w:t>
            </w:r>
          </w:p>
          <w:p>
            <w:pPr>
              <w:spacing w:after="160"/>
            </w:pPr>
            <w:r>
              <w:rPr>
                <w:rStyle w:val="row-content-rich-text"/>
              </w:rPr>
              <w:t xml:space="preserve">Numerator refers to the number of people who saw an allied health professional or nurse in the last 12 months.</w:t>
            </w:r>
          </w:p>
          <w:p>
            <w:pPr>
              <w:spacing w:after="160"/>
            </w:pPr>
            <w:r>
              <w:rPr>
                <w:rStyle w:val="row-content-rich-text"/>
              </w:rPr>
              <w:t xml:space="preserve">Participants in the ABS Australian Health Survey in 2011-12 were asked whether they had consulted a GP, specialist, dentist, other health professional, been admitted to the hospital, visited an outpatient clinic, or visited emergency/casualty or a day clinic in the preceding 12 months.  Only the category "other health professional" was included in this measure.</w:t>
            </w:r>
          </w:p>
          <w:p>
            <w:pPr>
              <w:spacing w:after="160"/>
            </w:pPr>
            <w:r>
              <w:rPr>
                <w:rStyle w:val="row-content-rich-text"/>
              </w:rPr>
              <w:t xml:space="preserve">Health professionals other than a doctor or a dentist included Aboriginal Health Worker, accredited counsellor, acupuncturist, alcohol and drug worker, audiologist/audiometrist, chemist (for advice only), chiropodist/podiatrist, chiropractor, diabetes educator, dietician/nutritionist, naturopath, herbalist, hypnotherapist, nurse, occupational therapist, optician/optometrist, osteopath, physiotherapist/hydrotherapist, psychologist, social worker/welfare officer, speech therapist/pathologist or other.</w:t>
            </w:r>
          </w:p>
          <w:p>
            <w:pPr>
              <w:spacing w:after="160"/>
            </w:pPr>
            <w:r>
              <w:rPr>
                <w:rStyle w:val="row-content-rich-text"/>
              </w:rPr>
              <w:t xml:space="preserve">The numerator was calculated as the sum of calibrated sample weights for people who responded that they saw an allied health professional or nurse and who were enumerated within the particular Medicare local catchment.</w:t>
            </w:r>
          </w:p>
          <w:p>
            <w:pPr>
              <w:spacing w:after="160"/>
            </w:pPr>
            <w:r>
              <w:rPr>
                <w:rStyle w:val="row-content-rich-text"/>
              </w:rPr>
              <w:t xml:space="preserve">The denominator was calculated as the sum of calibrated sample weights for people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w:t>
            </w:r>
          </w:p>
          <w:p>
            <w:pPr>
              <w:spacing w:after="160"/>
            </w:pPr>
            <w:r>
              <w:rPr>
                <w:rStyle w:val="row-content-rich-text"/>
              </w:rPr>
              <w:t xml:space="preserve">National Health Performance Authority suppression protocols</w:t>
            </w:r>
          </w:p>
          <w:p>
            <w:pPr>
              <w:pStyle w:val="ListParagraph"/>
              <w:numPr>
                <w:ilvl w:val="0"/>
                <w:numId w:val="2"/>
              </w:numPr>
            </w:pPr>
            <w:r>
              <w:rPr>
                <w:rStyle w:val="row-content-rich-text"/>
              </w:rPr>
              <w:t xml:space="preserve">Additional suppression rules were developed and applied by the National Health Performance Authority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Data were suppressed based on the following rules:</w:t>
            </w:r>
          </w:p>
          <w:p>
            <w:pPr>
              <w:spacing w:after="160"/>
            </w:pPr>
            <w:r>
              <w:rPr>
                <w:rStyle w:val="row-content-rich-text"/>
              </w:rPr>
              <w:t xml:space="preserve"> </w:t>
            </w:r>
          </w:p>
          <w:p>
            <w:pPr>
              <w:spacing w:after="160"/>
            </w:pPr>
            <w:r>
              <w:rPr>
                <w:rStyle w:val="row-content-rich-text"/>
              </w:rPr>
              <w:t xml:space="preserve">Relative Standard Error of 33% or greater, or Confidence Interval (95%) width of 33% or greater, or</w:t>
            </w:r>
          </w:p>
          <w:p>
            <w:pPr>
              <w:spacing w:after="160"/>
            </w:pPr>
            <w:r>
              <w:rPr>
                <w:rStyle w:val="row-content-rich-text"/>
              </w:rPr>
              <w:t xml:space="preserve">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1</w:t>
            </w:r>
            <w:r>
              <w:rPr>
                <w:rStyle w:val="row-content-rich-text"/>
              </w:rPr>
              <w:t xml:space="preserve">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w:t>
            </w:r>
            <w:r>
              <w:rPr>
                <w:rStyle w:val="row-content-rich-text"/>
              </w:rPr>
              <w:t xml:space="preserve"> In this context, marginal is defined as within 10% of the 30% limit, or +/- 3%.</w:t>
            </w:r>
          </w:p>
          <w:p>
            <w:pPr>
              <w:spacing w:after="160"/>
            </w:pPr>
            <w:r>
              <w:rPr>
                <w:rStyle w:val="row-content-rich-text"/>
                <w:vertAlign w:val="superscript"/>
              </w:rPr>
              <w:t xml:space="preserve">3</w:t>
            </w:r>
            <w:r>
              <w:rPr>
                <w:rStyle w:val="row-content-rich-text"/>
              </w:rPr>
              <w:t xml:space="preserve"> In this context, statistical significance is defined as at least two standard deviations above average.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saw an allied health professional or nurse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53493359d64adf">
              <w:r>
                <w:rPr>
                  <w:rStyle w:val="Hyperlink"/>
                </w:rPr>
                <w:t xml:space="preserve">Person—date of birth, MMYYYY</w:t>
              </w:r>
            </w:hyperlink>
          </w:p>
          <w:p>
            <w:r>
              <w:rPr>
                <w:rStyle w:val="row-content"/>
                <w:b/>
                <w:color w:val="000000"/>
              </w:rPr>
              <w:t xml:space="preserve">Data Element / Data Set</w:t>
            </w:r>
          </w:p>
          <w:p>
            <w:hyperlink w:history="true" r:id="R70bcc1cc46bc4525">
              <w:r>
                <w:rPr>
                  <w:rStyle w:val="Hyperlink"/>
                </w:rPr>
                <w:t xml:space="preserve">Person—allied health professional or nurse contact indicator, yes/no code N</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0db75aad3e42b9">
              <w:r>
                <w:rPr>
                  <w:rStyle w:val="Hyperlink"/>
                </w:rPr>
                <w:t xml:space="preserve">Person—age, total years N[NN]</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138933f41e4987">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20c4bb0da3414cb7">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0226aca78b4031">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rHeight w:val="300" w:hRule="atLeast"/>
              </w:trPr>
              <w:tc>
                <w:tcPr>
                  <w:tcW w:w="5000" w:type="pct"/>
                  <w:vAlign w:val="top"/>
                </w:tcPr>
                <w:p>
                  <w:pPr/>
                  <w:r>
                    <w:rPr>
                      <w:rStyle w:val="row-content-rich-text"/>
                    </w:rPr>
                    <w:t xml:space="preserve">National Health Performance Authority</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 </w:t>
            </w:r>
          </w:p>
        </w:tc>
      </w:tr>
    </w:tbl>
    <w:p>
      <w:r>
        <w:br/>
      </w:r>
    </w:p>
    <w:sectPr>
      <w:footerReference xmlns:r="http://schemas.openxmlformats.org/officeDocument/2006/relationships" w:type="default" r:id="Re6b67a02f1d0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546854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ad75652f97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67a02f1d041df" /><Relationship Type="http://schemas.openxmlformats.org/officeDocument/2006/relationships/header" Target="/word/header1.xml" Id="R948f1ed1e7f44649" /><Relationship Type="http://schemas.openxmlformats.org/officeDocument/2006/relationships/settings" Target="/word/settings.xml" Id="Rc0ac049a62e94065" /><Relationship Type="http://schemas.openxmlformats.org/officeDocument/2006/relationships/styles" Target="/word/styles.xml" Id="R1e08ebfb86f14c06" /><Relationship Type="http://schemas.openxmlformats.org/officeDocument/2006/relationships/hyperlink" Target="https://meteor.aihw.gov.au/RegistrationAuthority/8" TargetMode="External" Id="R2525f0a9d0b54e25" /><Relationship Type="http://schemas.openxmlformats.org/officeDocument/2006/relationships/hyperlink" Target="https://meteor.aihw.gov.au/content/550329" TargetMode="External" Id="Rd7e101004c1b403e" /><Relationship Type="http://schemas.openxmlformats.org/officeDocument/2006/relationships/hyperlink" Target="https://meteor.aihw.gov.au/RegistrationAuthority/8" TargetMode="External" Id="R6e366db12b52479c" /><Relationship Type="http://schemas.openxmlformats.org/officeDocument/2006/relationships/numbering" Target="/word/numbering.xml" Id="R28e8f7b2ebfb4fdb" /><Relationship Type="http://schemas.openxmlformats.org/officeDocument/2006/relationships/hyperlink" Target="https://meteor.aihw.gov.au/content/375191" TargetMode="External" Id="Rba53493359d64adf" /><Relationship Type="http://schemas.openxmlformats.org/officeDocument/2006/relationships/hyperlink" Target="https://meteor.aihw.gov.au/content/575314" TargetMode="External" Id="R70bcc1cc46bc4525" /><Relationship Type="http://schemas.openxmlformats.org/officeDocument/2006/relationships/hyperlink" Target="https://meteor.aihw.gov.au/content/303794" TargetMode="External" Id="R130db75aad3e42b9" /><Relationship Type="http://schemas.openxmlformats.org/officeDocument/2006/relationships/hyperlink" Target="https://meteor.aihw.gov.au/content/513288" TargetMode="External" Id="R38138933f41e4987" /><Relationship Type="http://schemas.openxmlformats.org/officeDocument/2006/relationships/hyperlink" Target="https://meteor.aihw.gov.au/content/550733" TargetMode="External" Id="R20c4bb0da3414cb7" /><Relationship Type="http://schemas.openxmlformats.org/officeDocument/2006/relationships/hyperlink" Target="https://meteor.aihw.gov.au/content/554927" TargetMode="External" Id="R540226aca78b4031" /></Relationships>
</file>

<file path=word/_rels/header1.xml.rels>&#65279;<?xml version="1.0" encoding="utf-8"?><Relationships xmlns="http://schemas.openxmlformats.org/package/2006/relationships"><Relationship Type="http://schemas.openxmlformats.org/officeDocument/2006/relationships/image" Target="/media/image.png" Id="R29ad75652f9745c2" /></Relationships>
</file>