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bbbcdcac374d30"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categories,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non-salary public hospital expenditure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e3bab36864615">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recurrent expenditure incurred by establishments, excluding salaries and wages,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8fb80b4c1a47b5">
              <w:r>
                <w:rPr>
                  <w:rStyle w:val="Hyperlink"/>
                </w:rPr>
                <w:t xml:space="preserve">Establishment—recurrent non-salary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55560c109c4f6f">
              <w:r>
                <w:rPr>
                  <w:rStyle w:val="Hyperlink"/>
                </w:rPr>
                <w:t xml:space="preserve">Recurrent non-salary expenditure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Administrative expenses -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Administrative expenses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Depreciation -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Depreciation - 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Domestic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Interest payments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Lease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Patient transport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Repairs and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Superannuation employer contributions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on-costs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Supplies - drug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Supplies - food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Supplies - medical and surgical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Visiting medical officer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Not elsewhere recorded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Administrative expenses - insurance</w:t>
            </w:r>
          </w:p>
          <w:p>
            <w:pPr>
              <w:spacing w:after="160"/>
            </w:pPr>
            <w:r>
              <w:rPr>
                <w:rStyle w:val="row-content-rich-text"/>
              </w:rPr>
              <w:t xml:space="preserve">The expenditure incurred by establishments for the purposes of insurance (excluding workers' compensation premiums and medical indemnity).</w:t>
            </w:r>
          </w:p>
          <w:p>
            <w:pPr>
              <w:spacing w:after="160"/>
            </w:pPr>
            <w:r>
              <w:rPr>
                <w:rStyle w:val="row-content-rich-text"/>
              </w:rPr>
              <w:t xml:space="preserve">CODE 2   Administrative expenses - other</w:t>
            </w:r>
          </w:p>
          <w:p>
            <w:pPr>
              <w:spacing w:after="160"/>
            </w:pPr>
            <w:r>
              <w:rPr>
                <w:rStyle w:val="row-content-rich-text"/>
              </w:rPr>
              <w:t xml:space="preserve">The expenditure incurred by establishments of a management expenses/administrative support nature such as any rates and taxes, printing, telephone, stationery but excluding insurance, workers' compensation premiums and medical indemnity.</w:t>
            </w:r>
          </w:p>
          <w:p>
            <w:pPr>
              <w:spacing w:after="160"/>
            </w:pPr>
            <w:r>
              <w:rPr>
                <w:rStyle w:val="row-content-rich-text"/>
              </w:rPr>
              <w:t xml:space="preserve">CODE 3   Depreciation - building</w:t>
            </w:r>
          </w:p>
          <w:p>
            <w:pPr>
              <w:spacing w:after="160"/>
            </w:pPr>
            <w:r>
              <w:rPr>
                <w:rStyle w:val="row-content-rich-text"/>
              </w:rPr>
              <w:t xml:space="preserve">A building is a rigid, fixed and permanent structure which has a roof (ABS 2011). Building depreciation includes depreciation charges for buildings and fixed fit-out such as items fitted to the building (e.g. lights, partitions etc.).</w:t>
            </w:r>
          </w:p>
          <w:p>
            <w:pPr>
              <w:spacing w:after="160"/>
            </w:pPr>
            <w:r>
              <w:rPr>
                <w:rStyle w:val="row-content-rich-text"/>
              </w:rPr>
              <w:t xml:space="preserve">This item includes charges from public private partnerships (PPP) involving the supply and use of buildings. For this purpose, 'supply' is considered to be the interest payments on the building and 'use' is considered to be the expenditure through the special purpose vehicle. Maintenance and repairs are excluded and should be reported against Code 9.</w:t>
            </w:r>
          </w:p>
          <w:p>
            <w:pPr>
              <w:spacing w:after="160"/>
            </w:pPr>
            <w:r>
              <w:rPr>
                <w:rStyle w:val="row-content-rich-text"/>
              </w:rPr>
              <w:t xml:space="preserve">A PPP contract may also include expense for other expenditure such as cleaning or security services. Expenditure relating to these services will be reported under the appropriate code such as Code 5 Domestic Services. Only PPP Interest and Special Purposes Vehicle (SPV) expense should be reported in Code 3 Depreciation - building.</w:t>
            </w:r>
          </w:p>
          <w:p>
            <w:pPr>
              <w:spacing w:after="160"/>
            </w:pPr>
            <w:r>
              <w:rPr>
                <w:rStyle w:val="row-content-rich-text"/>
              </w:rPr>
              <w:t xml:space="preserve">Building depreciation should be identified separately from other depreciation and other recurrent expenditure categories.</w:t>
            </w:r>
          </w:p>
          <w:p>
            <w:pPr>
              <w:spacing w:after="160"/>
            </w:pPr>
            <w:r>
              <w:rPr>
                <w:rStyle w:val="row-content-rich-text"/>
              </w:rPr>
              <w:t xml:space="preserve">CODE 4   Depreciation - other</w:t>
            </w:r>
          </w:p>
          <w:p>
            <w:pPr>
              <w:spacing w:after="160"/>
            </w:pPr>
            <w:r>
              <w:rPr>
                <w:rStyle w:val="row-content-rich-text"/>
              </w:rPr>
              <w:t xml:space="preserve">Other depreciation should be identified separately from building depreciation and other recurrent expenditure categories.</w:t>
            </w:r>
          </w:p>
          <w:p>
            <w:pPr>
              <w:spacing w:after="160"/>
            </w:pPr>
            <w:r>
              <w:rPr>
                <w:rStyle w:val="row-content-rich-text"/>
              </w:rPr>
              <w:t xml:space="preserve">CODE 5   Domestic services</w:t>
            </w:r>
          </w:p>
          <w:p>
            <w:pPr>
              <w:spacing w:after="160"/>
            </w:pPr>
            <w:r>
              <w:rPr>
                <w:rStyle w:val="row-content-rich-text"/>
              </w:rPr>
              <w:t xml:space="preserve">The expenditure incurred by establishments on domestic services include electricity, other fuel and power, domestic services for staff, accommodation and kitchen expenses but not including salaries and wages, food costs or equipment replacement and repair costs.</w:t>
            </w:r>
          </w:p>
          <w:p>
            <w:pPr>
              <w:spacing w:after="160"/>
            </w:pPr>
            <w:r>
              <w:rPr>
                <w:rStyle w:val="row-content-rich-text"/>
              </w:rPr>
              <w:t xml:space="preserve">CODE 6   Interest payments</w:t>
            </w:r>
          </w:p>
          <w:p>
            <w:pPr>
              <w:spacing w:after="160"/>
            </w:pPr>
            <w:r>
              <w:rPr>
                <w:rStyle w:val="row-content-rich-text"/>
              </w:rPr>
              <w:t xml:space="preserve">Payments made by or on behalf of the establishment in respect of borrowings (e.g. interest on bank overdraft) provided the establishment is permitted to borrow. This does not include the cost of equity capital (i.e. dividends on shares) in respect of profit-making private establishments.</w:t>
            </w:r>
          </w:p>
          <w:p>
            <w:pPr>
              <w:spacing w:after="160"/>
            </w:pPr>
            <w:r>
              <w:rPr>
                <w:rStyle w:val="row-content-rich-text"/>
              </w:rPr>
              <w:t xml:space="preserve">CODE 7   Lease costs</w:t>
            </w:r>
          </w:p>
          <w:p>
            <w:pPr>
              <w:spacing w:after="160"/>
            </w:pPr>
            <w:r>
              <w:rPr>
                <w:rStyle w:val="row-content-rich-text"/>
              </w:rPr>
              <w:t xml:space="preserve">A lease is an agreement whereby the lessor conveys to the lessee in return for a payment or series of payments the right to use an asset for an agreed period of time.</w:t>
            </w:r>
          </w:p>
          <w:p>
            <w:pPr>
              <w:spacing w:after="160"/>
            </w:pPr>
            <w:r>
              <w:rPr>
                <w:rStyle w:val="row-content-rich-text"/>
              </w:rPr>
              <w:t xml:space="preserve">CODE 8   Patient transport costs</w:t>
            </w:r>
          </w:p>
          <w:p>
            <w:pPr>
              <w:spacing w:after="160"/>
            </w:pPr>
            <w:r>
              <w:rPr>
                <w:rStyle w:val="row-content-rich-text"/>
              </w:rPr>
              <w:t xml:space="preserve">The expenditure incurred by establishments on transporting patients excluding salaries and wages of transport staff where payment is made by an establishment.</w:t>
            </w:r>
          </w:p>
          <w:p>
            <w:pPr>
              <w:spacing w:after="160"/>
            </w:pPr>
            <w:r>
              <w:rPr>
                <w:rStyle w:val="row-content-rich-text"/>
              </w:rPr>
              <w:t xml:space="preserve">CODE 9   Repairs and maintenance</w:t>
            </w:r>
          </w:p>
          <w:p>
            <w:pPr>
              <w:spacing w:after="160"/>
            </w:pPr>
            <w:r>
              <w:rPr>
                <w:rStyle w:val="row-content-rich-text"/>
              </w:rPr>
              <w:t xml:space="preserve">The expenditure incurred by establishments on maintaining, repairing, replacing and providing additional equipment, maintaining and renovating building and minor additional works.</w:t>
            </w:r>
          </w:p>
          <w:p>
            <w:pPr>
              <w:spacing w:after="160"/>
            </w:pPr>
            <w:r>
              <w:rPr>
                <w:rStyle w:val="row-content-rich-text"/>
              </w:rPr>
              <w:t xml:space="preserve">CODE 10   Superannuation employer contributions</w:t>
            </w:r>
          </w:p>
          <w:p>
            <w:pPr>
              <w:spacing w:after="160"/>
            </w:pPr>
            <w:r>
              <w:rPr>
                <w:rStyle w:val="row-content-rich-text"/>
              </w:rPr>
              <w:t xml:space="preserve">Contributions paid in Australian dollars or (for an emerging cost scheme) that should be paid (as determined by an actuary) on behalf of establishment employees by the establishment to a superannuation fund providing retirement and related benefits to establishment employees, for a financial year.</w:t>
            </w:r>
          </w:p>
          <w:p>
            <w:pPr>
              <w:spacing w:after="160"/>
            </w:pPr>
            <w:r>
              <w:rPr>
                <w:rStyle w:val="row-content-rich-text"/>
              </w:rPr>
              <w:t xml:space="preserve">The definition specifically excludes employee superannuation contributions (not a cost to the establishment) and superannuation final benefit payments.</w:t>
            </w:r>
          </w:p>
          <w:p>
            <w:pPr>
              <w:spacing w:after="160"/>
            </w:pPr>
            <w:r>
              <w:rPr>
                <w:rStyle w:val="row-content-rich-text"/>
              </w:rPr>
              <w:t xml:space="preserve">The following different funding bases are identified:</w:t>
            </w:r>
          </w:p>
          <w:p>
            <w:pPr>
              <w:pStyle w:val="ListParagraph"/>
              <w:numPr>
                <w:ilvl w:val="0"/>
                <w:numId w:val="2"/>
              </w:numPr>
            </w:pPr>
            <w:r>
              <w:rPr>
                <w:rStyle w:val="row-content-rich-text"/>
              </w:rPr>
              <w:t xml:space="preserve">paid by hospital to fully funded scheme;</w:t>
            </w:r>
          </w:p>
          <w:p>
            <w:pPr>
              <w:pStyle w:val="ListParagraph"/>
              <w:numPr>
                <w:ilvl w:val="0"/>
                <w:numId w:val="2"/>
              </w:numPr>
            </w:pPr>
            <w:r>
              <w:rPr>
                <w:rStyle w:val="row-content-rich-text"/>
              </w:rPr>
              <w:t xml:space="preserve">paid by Commonwealth Government or State government to fully funded scheme;</w:t>
            </w:r>
          </w:p>
          <w:p>
            <w:pPr>
              <w:pStyle w:val="ListParagraph"/>
              <w:numPr>
                <w:ilvl w:val="0"/>
                <w:numId w:val="2"/>
              </w:numPr>
            </w:pPr>
            <w:r>
              <w:rPr>
                <w:rStyle w:val="row-content-rich-text"/>
              </w:rPr>
              <w:t xml:space="preserve">unfunded or emerging costs schemes where employer component is not presently funded. </w:t>
            </w:r>
          </w:p>
          <w:p>
            <w:pPr>
              <w:spacing w:after="160"/>
            </w:pPr>
            <w:r>
              <w:rPr>
                <w:rStyle w:val="row-content-rich-text"/>
              </w:rPr>
              <w:t xml:space="preserve">Fully funded schemes are those in which employer and employee contributions are paid into an invested fund. Benefits are paid from the fund. Most private sector schemes are fully funded.</w:t>
            </w:r>
          </w:p>
          <w:p>
            <w:pPr>
              <w:spacing w:after="160"/>
            </w:pPr>
            <w:r>
              <w:rPr>
                <w:rStyle w:val="row-content-rich-text"/>
              </w:rPr>
              <w:t xml:space="preserve">Emerging cost schemes are those in which the cost of benefits is met at the time a benefit becomes payable; that is, there is no ongoing invested fund from which benefits are paid. The Commonwealth superannuation fund is an example of this type of scheme as employee benefits are paid out of general revenue.</w:t>
            </w:r>
          </w:p>
          <w:p>
            <w:pPr>
              <w:spacing w:after="160"/>
            </w:pPr>
            <w:r>
              <w:rPr>
                <w:rStyle w:val="row-content-rich-text"/>
              </w:rPr>
              <w:t xml:space="preserve">CODE 11   Other on-costs</w:t>
            </w:r>
          </w:p>
          <w:p>
            <w:pPr>
              <w:spacing w:after="160"/>
            </w:pPr>
            <w:r>
              <w:rPr>
                <w:rStyle w:val="row-content-rich-text"/>
              </w:rPr>
              <w:t xml:space="preserve">The expenditure incurred by establishments on employee-related expenses, excluding salaries, wages and superannuation employer contributions, paid on behalf of establishment either by the establishment, or another organisation such as a state health authority.</w:t>
            </w:r>
          </w:p>
          <w:p>
            <w:pPr>
              <w:spacing w:after="160"/>
            </w:pPr>
            <w:r>
              <w:rPr>
                <w:rStyle w:val="row-content-rich-text"/>
              </w:rPr>
              <w:t xml:space="preserve">The definition specifically excludes:</w:t>
            </w:r>
          </w:p>
          <w:p>
            <w:pPr>
              <w:pStyle w:val="ListParagraph"/>
              <w:numPr>
                <w:ilvl w:val="0"/>
                <w:numId w:val="3"/>
              </w:numPr>
            </w:pPr>
            <w:r>
              <w:rPr>
                <w:rStyle w:val="row-content-rich-text"/>
              </w:rPr>
              <w:t xml:space="preserve">salaries, wages and supplements for all employees of the organisation (including contract staff employed by an agency, provided staffing data are also available)</w:t>
            </w:r>
          </w:p>
          <w:p>
            <w:pPr>
              <w:pStyle w:val="ListParagraph"/>
              <w:numPr>
                <w:ilvl w:val="0"/>
                <w:numId w:val="3"/>
              </w:numPr>
            </w:pPr>
            <w:r>
              <w:rPr>
                <w:rStyle w:val="row-content-rich-text"/>
              </w:rPr>
              <w:t xml:space="preserve">superannuation employer contributions paid or for an emerging cost scheme, that should be paid (as determined by an actuary) on behalf of establishment employees either by the establishment or another organisation such as a state health authority, to a superannuation fund providing retirement and related benefits to establishment employees.</w:t>
            </w:r>
          </w:p>
          <w:p>
            <w:pPr>
              <w:pStyle w:val="ListParagraph"/>
              <w:numPr>
                <w:ilvl w:val="0"/>
                <w:numId w:val="3"/>
              </w:numPr>
            </w:pPr>
            <w:r>
              <w:rPr>
                <w:rStyle w:val="row-content-rich-text"/>
              </w:rPr>
              <w:t xml:space="preserve">workers' compensation premiums</w:t>
            </w:r>
          </w:p>
          <w:p>
            <w:pPr>
              <w:pStyle w:val="ListParagraph"/>
              <w:numPr>
                <w:ilvl w:val="0"/>
                <w:numId w:val="3"/>
              </w:numPr>
            </w:pPr>
            <w:r>
              <w:rPr>
                <w:rStyle w:val="row-content-rich-text"/>
              </w:rPr>
              <w:t xml:space="preserve">all paid leave (recreation, sick and long-service).</w:t>
            </w:r>
          </w:p>
          <w:p>
            <w:pPr>
              <w:spacing w:after="160"/>
            </w:pPr>
            <w:r>
              <w:rPr>
                <w:rStyle w:val="row-content-rich-text"/>
              </w:rPr>
              <w:t xml:space="preserve">The definition includes:</w:t>
            </w:r>
          </w:p>
          <w:p>
            <w:pPr>
              <w:pStyle w:val="ListParagraph"/>
              <w:numPr>
                <w:ilvl w:val="0"/>
                <w:numId w:val="4"/>
              </w:numPr>
            </w:pPr>
            <w:r>
              <w:rPr>
                <w:rStyle w:val="row-content-rich-text"/>
              </w:rPr>
              <w:t xml:space="preserve">salary and wage payments relating to workers' compensation leave</w:t>
            </w:r>
          </w:p>
          <w:p>
            <w:pPr>
              <w:pStyle w:val="ListParagraph"/>
              <w:numPr>
                <w:ilvl w:val="0"/>
                <w:numId w:val="4"/>
              </w:numPr>
            </w:pPr>
            <w:r>
              <w:rPr>
                <w:rStyle w:val="row-content-rich-text"/>
              </w:rPr>
              <w:t xml:space="preserve">payroll tax, fringe benefits tax and redundancy payments. </w:t>
            </w:r>
          </w:p>
          <w:p>
            <w:pPr>
              <w:spacing w:after="160"/>
            </w:pPr>
            <w:r>
              <w:rPr>
                <w:rStyle w:val="row-content-rich-text"/>
              </w:rPr>
              <w:t xml:space="preserve">CODE 12   Supplies - drug</w:t>
            </w:r>
          </w:p>
          <w:p>
            <w:pPr>
              <w:spacing w:after="160"/>
            </w:pPr>
            <w:r>
              <w:rPr>
                <w:rStyle w:val="row-content-rich-text"/>
              </w:rPr>
              <w:t xml:space="preserve">The expenditure incurred by establishments on all drugs including the cost of containers.</w:t>
            </w:r>
          </w:p>
          <w:p>
            <w:pPr>
              <w:spacing w:after="160"/>
            </w:pPr>
            <w:r>
              <w:rPr>
                <w:rStyle w:val="row-content-rich-text"/>
              </w:rPr>
              <w:t xml:space="preserve">CODE 13   Supplies - food</w:t>
            </w:r>
          </w:p>
          <w:p>
            <w:pPr>
              <w:spacing w:after="160"/>
            </w:pPr>
            <w:r>
              <w:rPr>
                <w:rStyle w:val="row-content-rich-text"/>
              </w:rPr>
              <w:t xml:space="preserve">The expenditure incurred by establishments on all food and beverages but not including kitchen expenses such as utensils, cleaning materials, cutlery and crockery.</w:t>
            </w:r>
          </w:p>
          <w:p>
            <w:pPr>
              <w:spacing w:after="160"/>
            </w:pPr>
            <w:r>
              <w:rPr>
                <w:rStyle w:val="row-content-rich-text"/>
              </w:rPr>
              <w:t xml:space="preserve">CODE 14   Supplies - medical and surgical</w:t>
            </w:r>
          </w:p>
          <w:p>
            <w:pPr>
              <w:spacing w:after="160"/>
            </w:pPr>
            <w:r>
              <w:rPr>
                <w:rStyle w:val="row-content-rich-text"/>
              </w:rPr>
              <w:t xml:space="preserve">The expenditure incurred by establishments on all consumables of a medical or surgical nature (excluding drug supplies) but not including expenditure on equipment repairs.</w:t>
            </w:r>
          </w:p>
          <w:p>
            <w:pPr>
              <w:spacing w:after="160"/>
            </w:pPr>
            <w:r>
              <w:rPr>
                <w:rStyle w:val="row-content-rich-text"/>
              </w:rPr>
              <w:t xml:space="preserve">CODE 15   Visiting medical officer payments</w:t>
            </w:r>
          </w:p>
          <w:p>
            <w:pPr>
              <w:spacing w:after="160"/>
            </w:pPr>
            <w:r>
              <w:rPr>
                <w:rStyle w:val="row-content-rich-text"/>
              </w:rPr>
              <w:t xml:space="preserve">The expenditure incurred by establishments to visiting medical officers for medical services provided to hospital (public) patients on an honorary, sessionally paid, or fee for service basis.</w:t>
            </w:r>
          </w:p>
          <w:p>
            <w:pPr>
              <w:spacing w:after="160"/>
            </w:pPr>
            <w:r>
              <w:rPr>
                <w:rStyle w:val="row-content-rich-text"/>
              </w:rPr>
              <w:t xml:space="preserve">All payments made by an institutional health care establishment to visiting medical officers for medical services provided to hospital (public) patients on an honorary, sessionally paid, or fee for service basis.</w:t>
            </w:r>
          </w:p>
          <w:p>
            <w:pPr>
              <w:spacing w:after="160"/>
            </w:pPr>
            <w:r>
              <w:rPr>
                <w:rStyle w:val="row-content-rich-text"/>
              </w:rPr>
              <w:t xml:space="preserve">A visiting medical officer is a medical practitioner appointed by the hospital board to provide medical services for hospital (public) patients on an honorary, sessionally paid, or fee for service basis. This category includes the same Australian and New Zealand Standard Classification of Occupations codes as the salaried medical officers category.</w:t>
            </w:r>
          </w:p>
          <w:p>
            <w:pPr>
              <w:spacing w:after="160"/>
            </w:pPr>
            <w:r>
              <w:rPr>
                <w:rStyle w:val="row-content-rich-text"/>
              </w:rPr>
              <w:t xml:space="preserve">CODE 88   Not elsewhere recorded</w:t>
            </w:r>
          </w:p>
          <w:p>
            <w:pPr>
              <w:spacing w:after="160"/>
            </w:pPr>
            <w:r>
              <w:rPr>
                <w:rStyle w:val="row-content-rich-text"/>
              </w:rPr>
              <w:t xml:space="preserve">The expenditure incurred by establishments on all other recurrent expenditure not elsewhere recorded. Gross expenditure should be reported with no revenue offsets (except for inter-hospital transfers).</w:t>
            </w:r>
          </w:p>
          <w:p>
            <w:pPr/>
            <w:r>
              <w:rPr>
                <w:rStyle w:val="row-content-rich-text"/>
              </w:rPr>
              <w:t xml:space="preserve">Includes expenditure by the establishment on contracted care arrangements.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salary and wage payments and premiums relating to workers' compensation leave.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7e46e825fd4235">
              <w:r>
                <w:rPr>
                  <w:rStyle w:val="Hyperlink"/>
                </w:rPr>
                <w:t xml:space="preserve">Establishment—recurrent non-salary expenditure, total Australian currency N[N(13)]</w:t>
              </w:r>
            </w:hyperlink>
          </w:p>
          <w:p>
            <w:pPr>
              <w:spacing w:before="0" w:after="0"/>
            </w:pPr>
            <w:r>
              <w:rPr>
                <w:rStyle w:val="row-content"/>
                <w:color w:val="244061"/>
              </w:rPr>
              <w:t xml:space="preserve">       </w:t>
            </w:r>
            <w:hyperlink w:history="true" r:id="R1a98b85beb764d16">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0ee87310d24a51">
              <w:r>
                <w:rPr>
                  <w:rStyle w:val="Hyperlink"/>
                </w:rPr>
                <w:t xml:space="preserve">Recurrent non-salary expenditure data element cluster</w:t>
              </w:r>
            </w:hyperlink>
          </w:p>
          <w:p>
            <w:pPr>
              <w:spacing w:before="0" w:after="0"/>
            </w:pPr>
            <w:r>
              <w:rPr>
                <w:rStyle w:val="row-content"/>
                <w:color w:val="244061"/>
              </w:rPr>
              <w:t xml:space="preserve">       </w:t>
            </w:r>
            <w:hyperlink w:history="true" r:id="R0eedd9be9e31402b">
              <w:r>
                <w:rPr>
                  <w:rStyle w:val="Hyperlink"/>
                  <w:color w:val="244061"/>
                </w:rPr>
                <w:t xml:space="preserve">Health</w:t>
              </w:r>
            </w:hyperlink>
            <w:r>
              <w:rPr>
                <w:rStyle w:val="row-content"/>
                <w:color w:val="244061"/>
              </w:rPr>
              <w:t xml:space="preserve">, Superseded 04/08/2016</w:t>
            </w:r>
          </w:p>
          <w:p>
            <w:r>
              <w:br/>
            </w:r>
            <w:hyperlink w:history="true" r:id="R793982861d404e39">
              <w:r>
                <w:rPr>
                  <w:rStyle w:val="Hyperlink"/>
                </w:rPr>
                <w:t xml:space="preserve">Recurrent non-salary expenditure data element cluster</w:t>
              </w:r>
            </w:hyperlink>
          </w:p>
          <w:p>
            <w:pPr>
              <w:spacing w:before="0" w:after="0"/>
            </w:pPr>
            <w:r>
              <w:rPr>
                <w:rStyle w:val="row-content"/>
                <w:color w:val="244061"/>
              </w:rPr>
              <w:t xml:space="preserve">       </w:t>
            </w:r>
            <w:hyperlink w:history="true" r:id="R62502c5a03d24a59">
              <w:r>
                <w:rPr>
                  <w:rStyle w:val="Hyperlink"/>
                  <w:color w:val="244061"/>
                </w:rPr>
                <w:t xml:space="preserve">Health</w:t>
              </w:r>
            </w:hyperlink>
            <w:r>
              <w:rPr>
                <w:rStyle w:val="row-content"/>
                <w:color w:val="244061"/>
              </w:rPr>
              <w:t xml:space="preserve">, Superseded 09/12/2022</w:t>
            </w:r>
          </w:p>
          <w:p>
            <w:r>
              <w:br/>
            </w:r>
            <w:hyperlink w:history="true" r:id="R38a3faf0b8344118">
              <w:r>
                <w:rPr>
                  <w:rStyle w:val="Hyperlink"/>
                </w:rPr>
                <w:t xml:space="preserve">Recurrent non-salary expenditure data element cluster</w:t>
              </w:r>
            </w:hyperlink>
          </w:p>
          <w:p>
            <w:pPr>
              <w:spacing w:before="0" w:after="0"/>
            </w:pPr>
            <w:r>
              <w:rPr>
                <w:rStyle w:val="row-content"/>
                <w:color w:val="244061"/>
              </w:rPr>
              <w:t xml:space="preserve">       </w:t>
            </w:r>
            <w:hyperlink w:history="true" r:id="R7c5301a11091411a">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d0881fc947b6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1ebf5136243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81fc947b64d57" /><Relationship Type="http://schemas.openxmlformats.org/officeDocument/2006/relationships/header" Target="/word/header1.xml" Id="R5c4cc3eff513428a" /><Relationship Type="http://schemas.openxmlformats.org/officeDocument/2006/relationships/settings" Target="/word/settings.xml" Id="R982da74b0fb8475d" /><Relationship Type="http://schemas.openxmlformats.org/officeDocument/2006/relationships/styles" Target="/word/styles.xml" Id="R81ed10016c304cd6" /><Relationship Type="http://schemas.openxmlformats.org/officeDocument/2006/relationships/hyperlink" Target="https://meteor.aihw.gov.au/RegistrationAuthority/12" TargetMode="External" Id="R0a6e3bab36864615" /><Relationship Type="http://schemas.openxmlformats.org/officeDocument/2006/relationships/hyperlink" Target="https://meteor.aihw.gov.au/content/542136" TargetMode="External" Id="R3b8fb80b4c1a47b5" /><Relationship Type="http://schemas.openxmlformats.org/officeDocument/2006/relationships/hyperlink" Target="https://meteor.aihw.gov.au/content/542026" TargetMode="External" Id="R5f55560c109c4f6f" /><Relationship Type="http://schemas.openxmlformats.org/officeDocument/2006/relationships/numbering" Target="/word/numbering.xml" Id="R9da660c09dff46a1" /><Relationship Type="http://schemas.openxmlformats.org/officeDocument/2006/relationships/hyperlink" Target="https://meteor.aihw.gov.au/content/616003" TargetMode="External" Id="R137e46e825fd4235" /><Relationship Type="http://schemas.openxmlformats.org/officeDocument/2006/relationships/hyperlink" Target="https://meteor.aihw.gov.au/RegistrationAuthority/12" TargetMode="External" Id="R1a98b85beb764d16" /><Relationship Type="http://schemas.openxmlformats.org/officeDocument/2006/relationships/hyperlink" Target="https://meteor.aihw.gov.au/content/552346" TargetMode="External" Id="R860ee87310d24a51" /><Relationship Type="http://schemas.openxmlformats.org/officeDocument/2006/relationships/hyperlink" Target="https://meteor.aihw.gov.au/RegistrationAuthority/12" TargetMode="External" Id="R0eedd9be9e31402b" /><Relationship Type="http://schemas.openxmlformats.org/officeDocument/2006/relationships/hyperlink" Target="https://meteor.aihw.gov.au/content/616030" TargetMode="External" Id="R793982861d404e39" /><Relationship Type="http://schemas.openxmlformats.org/officeDocument/2006/relationships/hyperlink" Target="https://meteor.aihw.gov.au/RegistrationAuthority/12" TargetMode="External" Id="R62502c5a03d24a59" /><Relationship Type="http://schemas.openxmlformats.org/officeDocument/2006/relationships/hyperlink" Target="https://meteor.aihw.gov.au/content/757073" TargetMode="External" Id="R38a3faf0b8344118" /><Relationship Type="http://schemas.openxmlformats.org/officeDocument/2006/relationships/hyperlink" Target="https://meteor.aihw.gov.au/RegistrationAuthority/12" TargetMode="External" Id="R7c5301a11091411a" /></Relationships>
</file>

<file path=word/_rels/header1.xml.rels>&#65279;<?xml version="1.0" encoding="utf-8"?><Relationships xmlns="http://schemas.openxmlformats.org/package/2006/relationships"><Relationship Type="http://schemas.openxmlformats.org/officeDocument/2006/relationships/image" Target="/media/image.png" Id="Rb4a1ebf513624314" /></Relationships>
</file>