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40607ed3ca40c9" /></Relationships>
</file>

<file path=word/document.xml><?xml version="1.0" encoding="utf-8"?>
<w:document xmlns:r="http://schemas.openxmlformats.org/officeDocument/2006/relationships" xmlns:w="http://schemas.openxmlformats.org/wordprocessingml/2006/main">
  <w:body>
    <w:p>
      <w:pPr>
        <w:pStyle w:val="Title"/>
      </w:pPr>
      <w:r>
        <w:t>Establishment—total recurrent expenditure, National Health Reform Agreement 2011 product streams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Establishment—total recurrent expenditure, 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by NHRA product streams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540184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cdf7948e7042c6">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streams related to the National Health Reform Agreement for all recurrent expenditure incurred by an establishment, including salaries and wages, depreciation, and other non-salary recurrent expenditure (such as lease costs, administration expenses, contracted care and domestic services),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8416bce52c4530">
              <w:r>
                <w:rPr>
                  <w:rStyle w:val="Hyperlink"/>
                </w:rPr>
                <w:t xml:space="preserve">Establishment—total recurrent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eebd34d0c345f7">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recurrent expenditure incurred by an establishment including salaries and wages, depreciation, and other non-salary recurrent expenditure (such as lease costs, administration expenses, contracted care and domestic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c26e5d1e514d7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86f9e9900547ac">
              <w:r>
                <w:rPr>
                  <w:rStyle w:val="Hyperlink"/>
                </w:rPr>
                <w:t xml:space="preserve">Total recurrent expenditure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5c18013f724498">
              <w:r>
                <w:rPr>
                  <w:rStyle w:val="Hyperlink"/>
                </w:rPr>
                <w:t xml:space="preserve">National Health Reform Agreement 2011 product streams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540180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183c017991406e">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product streams under the National Health Reform Agreement (NHRA) 2011.</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Emergency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Non-admitted care (in-scope for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Non-admitted care (out of scope for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 of scope for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National Health Reform Agreement (NHRA) should be defined using the most recent National Efficient Price Determination produced by the Independent Hospital Pricing Authority (IHPA).</w:t>
            </w:r>
          </w:p>
          <w:p>
            <w:pPr>
              <w:spacing w:after="160"/>
            </w:pPr>
            <w:r>
              <w:rPr>
                <w:rStyle w:val="row-content-rich-text"/>
              </w:rPr>
              <w:t xml:space="preserve">CODE 1   Admitted acute care</w:t>
            </w:r>
          </w:p>
          <w:p>
            <w:pPr>
              <w:spacing w:after="160"/>
            </w:pPr>
            <w:r>
              <w:rPr>
                <w:rStyle w:val="row-content-rich-text"/>
              </w:rPr>
              <w:t xml:space="preserve">The expenditure incurred by an establishment for admitted patients receiving acute care, including expenditure associated with the care of unqualified newborns (which would be reported under the mother's episode of care).</w:t>
            </w:r>
          </w:p>
          <w:p>
            <w:pPr>
              <w:spacing w:after="160"/>
            </w:pPr>
            <w:r>
              <w:rPr>
                <w:rStyle w:val="row-content-rich-text"/>
              </w:rPr>
              <w:t xml:space="preserve">CODE 2   Admitted subacute care</w:t>
            </w:r>
          </w:p>
          <w:p>
            <w:pPr>
              <w:spacing w:after="160"/>
            </w:pPr>
            <w:r>
              <w:rPr>
                <w:rStyle w:val="row-content-rich-text"/>
              </w:rPr>
              <w:t xml:space="preserve">The expenditure incurred by an establishment for admitted patients receiving subacute care.</w:t>
            </w:r>
          </w:p>
          <w:p>
            <w:pPr>
              <w:spacing w:after="160"/>
            </w:pPr>
            <w:r>
              <w:rPr>
                <w:rStyle w:val="row-content-rich-text"/>
              </w:rPr>
              <w:t xml:space="preserve">CODE 3   Other admitted care</w:t>
            </w:r>
          </w:p>
          <w:p>
            <w:pPr>
              <w:spacing w:after="160"/>
            </w:pPr>
            <w:r>
              <w:rPr>
                <w:rStyle w:val="row-content-rich-text"/>
              </w:rPr>
              <w:t xml:space="preserve">The expenditure incurred by an establishment for other admitted patients, including expenditure associated with maintenance care.</w:t>
            </w:r>
          </w:p>
          <w:p>
            <w:pPr>
              <w:spacing w:after="160"/>
            </w:pPr>
            <w:r>
              <w:rPr>
                <w:rStyle w:val="row-content-rich-text"/>
              </w:rPr>
              <w:t xml:space="preserve">CODE 4   Emergency care services</w:t>
            </w:r>
          </w:p>
          <w:p>
            <w:pPr>
              <w:spacing w:after="160"/>
            </w:pPr>
            <w:r>
              <w:rPr>
                <w:rStyle w:val="row-content-rich-text"/>
              </w:rPr>
              <w:t xml:space="preserve">The expenditure incurred by an establishment on non-admitted patients receiving care through emergency care services. Excludes admitted patients receiving care through the emergency department. The definition of emergency care services for ABF purposes is available at the Independent Hospital Pricing Authority website - </w:t>
            </w:r>
            <w:hyperlink w:history="true" r:id="R15cf4dd757cf4050">
              <w:r>
                <w:rPr>
                  <w:rStyle w:val="Hyperlink"/>
                </w:rPr>
                <w:t xml:space="preserve">http://www.ihpa.gov.au/internet/ihpa/publishing.nsf/Content/emergency-care</w:t>
              </w:r>
            </w:hyperlink>
          </w:p>
          <w:p>
            <w:pPr>
              <w:spacing w:after="160"/>
            </w:pPr>
            <w:r>
              <w:rPr>
                <w:rStyle w:val="row-content-rich-text"/>
              </w:rPr>
              <w:t xml:space="preserve">CODE 5   Non-admitted care (in-scope for NHRA)</w:t>
            </w:r>
          </w:p>
          <w:p>
            <w:pPr>
              <w:spacing w:after="160"/>
            </w:pPr>
            <w:r>
              <w:rPr>
                <w:rStyle w:val="row-content-rich-text"/>
              </w:rPr>
              <w:t xml:space="preserve">The expenditure incurred by an establishment on non-admitted patients receiving services deemed to be in-scope of the National Health Reform Agreement.</w:t>
            </w:r>
          </w:p>
          <w:p>
            <w:pPr>
              <w:spacing w:after="160"/>
            </w:pPr>
            <w:r>
              <w:rPr>
                <w:rStyle w:val="row-content-rich-text"/>
              </w:rPr>
              <w:t xml:space="preserve">CODE 6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7   Commonwealth funded aged care</w:t>
            </w:r>
          </w:p>
          <w:p>
            <w:pPr>
              <w:spacing w:after="160"/>
            </w:pPr>
            <w:r>
              <w:rPr>
                <w:rStyle w:val="row-content-rich-text"/>
              </w:rPr>
              <w:t xml:space="preserve">The expenditure incurred by an establishment for Australian Government funded aged care patients (including residential aged care and Multi-Purpose Services).</w:t>
            </w:r>
          </w:p>
          <w:p>
            <w:pPr>
              <w:spacing w:after="160"/>
            </w:pPr>
            <w:r>
              <w:rPr>
                <w:rStyle w:val="row-content-rich-text"/>
              </w:rPr>
              <w:t xml:space="preserve">CODE 8   Other aged care</w:t>
            </w:r>
          </w:p>
          <w:p>
            <w:pPr>
              <w:spacing w:after="160"/>
            </w:pPr>
            <w:r>
              <w:rPr>
                <w:rStyle w:val="row-content-rich-text"/>
              </w:rPr>
              <w:t xml:space="preserve">The expenditure incurred by establishments for other aged care patients, excluding Australian Government funded aged care patients (such as residential aged care and Multi-Purpose Services).</w:t>
            </w:r>
          </w:p>
          <w:p>
            <w:pPr>
              <w:spacing w:after="160"/>
            </w:pPr>
            <w:r>
              <w:rPr>
                <w:rStyle w:val="row-content-rich-text"/>
              </w:rPr>
              <w:t xml:space="preserve">CODE 9   Non-admitted care (out of scope for NHRA)</w:t>
            </w:r>
          </w:p>
          <w:p>
            <w:pPr>
              <w:spacing w:after="160"/>
            </w:pPr>
            <w:r>
              <w:rPr>
                <w:rStyle w:val="row-content-rich-text"/>
              </w:rPr>
              <w:t xml:space="preserve">The expenditure incurred by an establishment on non-admitted patients receiving services deemed not to be in-scope of the National Health Reform Agreement.</w:t>
            </w:r>
          </w:p>
          <w:p>
            <w:pPr>
              <w:spacing w:after="160"/>
            </w:pPr>
            <w:r>
              <w:rPr>
                <w:rStyle w:val="row-content-rich-text"/>
              </w:rPr>
              <w:t xml:space="preserve">CODE 88   Other (out of scope for NHRA)</w:t>
            </w:r>
          </w:p>
          <w:p>
            <w:pPr/>
            <w:r>
              <w:rPr>
                <w:rStyle w:val="row-content-rich-text"/>
              </w:rPr>
              <w:t xml:space="preserve">The expenditure incurred by an establishment on services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Public Hospital Establishments NMDS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17aaebe276c54f00">
              <w:r>
                <w:rPr>
                  <w:rStyle w:val="Hyperlink"/>
                </w:rPr>
                <w:t xml:space="preserve">http://www.ihpa.gov.au/internet/ihpa/publishing.nsf/Content/national-efficient-price-determination-lp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of recurrent expenditure for all product streams plus depreciation should equal the sum of all recurrent non-salary expenditure and recurrent salaries and wages expenditure.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e6167cb59e94412">
              <w:r>
                <w:rPr>
                  <w:rStyle w:val="Hyperlink"/>
                </w:rPr>
                <w:t xml:space="preserve">Establishment—total recurrent expenditure, total Australian currency N[N(13)]</w:t>
              </w:r>
            </w:hyperlink>
          </w:p>
          <w:p>
            <w:pPr>
              <w:spacing w:before="0" w:after="0"/>
            </w:pPr>
            <w:r>
              <w:rPr>
                <w:rStyle w:val="row-content"/>
                <w:color w:val="244061"/>
              </w:rPr>
              <w:t xml:space="preserve">       </w:t>
            </w:r>
            <w:hyperlink w:history="true" r:id="Re5ebafba463246b8">
              <w:r>
                <w:rPr>
                  <w:rStyle w:val="Hyperlink"/>
                  <w:color w:val="244061"/>
                </w:rPr>
                <w:t xml:space="preserve">Health</w:t>
              </w:r>
            </w:hyperlink>
            <w:r>
              <w:rPr>
                <w:rStyle w:val="row-content"/>
                <w:color w:val="244061"/>
              </w:rPr>
              <w:t xml:space="preserve">, Standard 20/05/2015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c97e5e2c81418b">
              <w:r>
                <w:rPr>
                  <w:rStyle w:val="Hyperlink"/>
                </w:rPr>
                <w:t xml:space="preserve">Total recurrent expenditure on National Health Reform Agreement product streams data element cluster</w:t>
              </w:r>
            </w:hyperlink>
          </w:p>
          <w:p>
            <w:pPr>
              <w:spacing w:before="0" w:after="0"/>
            </w:pPr>
            <w:r>
              <w:rPr>
                <w:rStyle w:val="row-content"/>
                <w:color w:val="244061"/>
              </w:rPr>
              <w:t xml:space="preserve">       </w:t>
            </w:r>
            <w:hyperlink w:history="true" r:id="Rb66c7f4493184699">
              <w:r>
                <w:rPr>
                  <w:rStyle w:val="Hyperlink"/>
                  <w:color w:val="244061"/>
                </w:rPr>
                <w:t xml:space="preserve">Health</w:t>
              </w:r>
            </w:hyperlink>
            <w:r>
              <w:rPr>
                <w:rStyle w:val="row-content"/>
                <w:color w:val="244061"/>
              </w:rPr>
              <w:t xml:space="preserve">, Superseded 20/05/2015</w:t>
            </w:r>
          </w:p>
          <w:p>
            <w:r>
              <w:br/>
            </w:r>
            <w:hyperlink w:history="true" r:id="Rd976390c976b453d">
              <w:r>
                <w:rPr>
                  <w:rStyle w:val="Hyperlink"/>
                </w:rPr>
                <w:t xml:space="preserve">Total recurrent expenditure on National Health Reform Agreement product streams data element cluster</w:t>
              </w:r>
            </w:hyperlink>
          </w:p>
          <w:p>
            <w:pPr>
              <w:spacing w:before="0" w:after="0"/>
            </w:pPr>
            <w:r>
              <w:rPr>
                <w:rStyle w:val="row-content"/>
                <w:color w:val="244061"/>
              </w:rPr>
              <w:t xml:space="preserve">       </w:t>
            </w:r>
            <w:hyperlink w:history="true" r:id="R03ab5de307944b6b">
              <w:r>
                <w:rPr>
                  <w:rStyle w:val="Hyperlink"/>
                  <w:color w:val="244061"/>
                </w:rPr>
                <w:t xml:space="preserve">Health</w:t>
              </w:r>
            </w:hyperlink>
            <w:r>
              <w:rPr>
                <w:rStyle w:val="row-content"/>
                <w:color w:val="244061"/>
              </w:rPr>
              <w:t xml:space="preserve">, Superseded 03/11/2016</w:t>
            </w:r>
          </w:p>
          <w:p>
            <w:r>
              <w:br/>
            </w:r>
          </w:p>
        </w:tc>
      </w:tr>
    </w:tbl>
    <w:p/>
    <w:tbl>
      <w:tblPr>
        <w:tblStyle w:val="TableGrid"/>
        <w:tblW w:w="0" w:type="auto"/>
      </w:tblPr>
    </w:tbl>
    <w:p>
      <w:r>
        <w:br/>
      </w:r>
    </w:p>
    <w:sectPr>
      <w:footerReference xmlns:r="http://schemas.openxmlformats.org/officeDocument/2006/relationships" w:type="default" r:id="Rd24fb8fce1a646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540184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1f93282d6e45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4fb8fce1a646b2" /><Relationship Type="http://schemas.openxmlformats.org/officeDocument/2006/relationships/header" Target="/word/header1.xml" Id="R002456707cc341e9" /><Relationship Type="http://schemas.openxmlformats.org/officeDocument/2006/relationships/settings" Target="/word/settings.xml" Id="R7706d31493664ecf" /><Relationship Type="http://schemas.openxmlformats.org/officeDocument/2006/relationships/styles" Target="/word/styles.xml" Id="R9219431bab5543f7" /><Relationship Type="http://schemas.openxmlformats.org/officeDocument/2006/relationships/hyperlink" Target="https://meteor.aihw.gov.au/RegistrationAuthority/12" TargetMode="External" Id="R04cdf7948e7042c6" /><Relationship Type="http://schemas.openxmlformats.org/officeDocument/2006/relationships/hyperlink" Target="https://meteor.aihw.gov.au/content/545968" TargetMode="External" Id="R018416bce52c4530" /><Relationship Type="http://schemas.openxmlformats.org/officeDocument/2006/relationships/hyperlink" Target="https://meteor.aihw.gov.au/RegistrationAuthority/12" TargetMode="External" Id="Rc7eebd34d0c345f7" /><Relationship Type="http://schemas.openxmlformats.org/officeDocument/2006/relationships/hyperlink" Target="https://meteor.aihw.gov.au/content/268953" TargetMode="External" Id="R95c26e5d1e514d77" /><Relationship Type="http://schemas.openxmlformats.org/officeDocument/2006/relationships/hyperlink" Target="https://meteor.aihw.gov.au/content/545966" TargetMode="External" Id="R8986f9e9900547ac" /><Relationship Type="http://schemas.openxmlformats.org/officeDocument/2006/relationships/hyperlink" Target="https://meteor.aihw.gov.au/content/540180" TargetMode="External" Id="Re75c18013f724498" /><Relationship Type="http://schemas.openxmlformats.org/officeDocument/2006/relationships/hyperlink" Target="https://meteor.aihw.gov.au/RegistrationAuthority/12" TargetMode="External" Id="Ra9183c017991406e" /><Relationship Type="http://schemas.openxmlformats.org/officeDocument/2006/relationships/hyperlink" Target="http://www.ihpa.gov.au/internet/ihpa/publishing.nsf/Content/emergency-care" TargetMode="External" Id="R15cf4dd757cf4050" /><Relationship Type="http://schemas.openxmlformats.org/officeDocument/2006/relationships/hyperlink" Target="http://www.ihpa.gov.au" TargetMode="External" Id="R17aaebe276c54f00" /><Relationship Type="http://schemas.openxmlformats.org/officeDocument/2006/relationships/hyperlink" Target="https://meteor.aihw.gov.au/content/608186" TargetMode="External" Id="R4e6167cb59e94412" /><Relationship Type="http://schemas.openxmlformats.org/officeDocument/2006/relationships/hyperlink" Target="https://meteor.aihw.gov.au/RegistrationAuthority/12" TargetMode="External" Id="Re5ebafba463246b8" /><Relationship Type="http://schemas.openxmlformats.org/officeDocument/2006/relationships/hyperlink" Target="https://meteor.aihw.gov.au/content/552494" TargetMode="External" Id="Rdfc97e5e2c81418b" /><Relationship Type="http://schemas.openxmlformats.org/officeDocument/2006/relationships/hyperlink" Target="https://meteor.aihw.gov.au/RegistrationAuthority/12" TargetMode="External" Id="Rb66c7f4493184699" /><Relationship Type="http://schemas.openxmlformats.org/officeDocument/2006/relationships/hyperlink" Target="https://meteor.aihw.gov.au/content/608182" TargetMode="External" Id="Rd976390c976b453d" /><Relationship Type="http://schemas.openxmlformats.org/officeDocument/2006/relationships/hyperlink" Target="https://meteor.aihw.gov.au/RegistrationAuthority/12" TargetMode="External" Id="R03ab5de307944b6b" /></Relationships>
</file>

<file path=word/_rels/header1.xml.rels>&#65279;<?xml version="1.0" encoding="utf-8"?><Relationships xmlns="http://schemas.openxmlformats.org/package/2006/relationships"><Relationship Type="http://schemas.openxmlformats.org/officeDocument/2006/relationships/image" Target="/media/image.png" Id="R881f93282d6e450d" /></Relationships>
</file>