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f85f60f9c8b49f9" /></Relationships>
</file>

<file path=word/document.xml><?xml version="1.0" encoding="utf-8"?>
<w:document xmlns:r="http://schemas.openxmlformats.org/officeDocument/2006/relationships" xmlns:w="http://schemas.openxmlformats.org/wordprocessingml/2006/main">
  <w:body>
    <w:p>
      <w:pPr>
        <w:pStyle w:val="Title"/>
      </w:pPr>
      <w:r>
        <w:t>Indigenous community housing 2011-12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community housing 2011-12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538900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27fb0a879c491a">
              <w:r>
                <w:rPr>
                  <w:rStyle w:val="Hyperlink"/>
                  <w:color w:val="244061"/>
                </w:rPr>
                <w:t xml:space="preserve">AIHW Data Quality Statements</w:t>
              </w:r>
            </w:hyperlink>
            <w:r>
              <w:rPr>
                <w:rStyle w:val="row-content"/>
                <w:color w:val="244061"/>
              </w:rPr>
              <w:t xml:space="preserve">, Superseded 13/06/2013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All states and territories provide the Australian Institute of Health and Welfare (AIHW) with Indigenous community housing data from their administrative system. The AIHW compiles this data for reporting in the Report on Government Services (RoGS), the COAG Reform Council’s National Affordable Housing Agreement (NAHA) Report and internal publications and bulletins.</w:t>
            </w:r>
          </w:p>
          <w:p>
            <w:pPr>
              <w:pStyle w:val="ListParagraph"/>
              <w:numPr>
                <w:ilvl w:val="0"/>
                <w:numId w:val="2"/>
              </w:numPr>
            </w:pPr>
            <w:r>
              <w:rPr>
                <w:rStyle w:val="row-content-rich-text"/>
              </w:rPr>
              <w:t xml:space="preserve">Data are provided in a number of formats. In 2011–12, unit record data were provided by Victoria, Western Australia, South Australia, and Tasmania. A mix of unit record and aggregate data were provided by New South Wales, Queensland and the Northern Territory.</w:t>
            </w:r>
          </w:p>
          <w:p>
            <w:pPr>
              <w:pStyle w:val="ListParagraph"/>
              <w:numPr>
                <w:ilvl w:val="0"/>
                <w:numId w:val="2"/>
              </w:numPr>
            </w:pPr>
            <w:r>
              <w:rPr>
                <w:rStyle w:val="row-content-rich-text"/>
              </w:rPr>
              <w:t xml:space="preserve">In many cases complete data were not available for all dwellings or ICHOs in the jurisdiction. Therefore, data item totals and performance indicator values may not fully reflect the entire funded portion of the jurisdiction.</w:t>
            </w:r>
          </w:p>
          <w:p>
            <w:pPr>
              <w:pStyle w:val="ListParagraph"/>
              <w:numPr>
                <w:ilvl w:val="0"/>
                <w:numId w:val="2"/>
              </w:numPr>
            </w:pPr>
            <w:r>
              <w:rPr>
                <w:rStyle w:val="row-content-rich-text"/>
              </w:rPr>
              <w:t xml:space="preserve">National outputs and indicators were calculated using only those jurisdictions where complete information was available and valid.</w:t>
            </w:r>
          </w:p>
          <w:p>
            <w:pPr>
              <w:spacing w:after="160"/>
            </w:pPr>
            <w:r>
              <w:rPr>
                <w:rStyle w:val="row-content-rich-text"/>
                <w:b/>
              </w:rPr>
              <w:t xml:space="preserve">Description</w:t>
            </w:r>
          </w:p>
          <w:p>
            <w:pPr>
              <w:spacing w:after="160"/>
            </w:pPr>
            <w:r>
              <w:rPr>
                <w:rStyle w:val="row-content-rich-text"/>
              </w:rPr>
              <w:t xml:space="preserve">Data are provided annually to the AIHW by jurisdictions and are sourced from Indigenous community housing organisations (ICHOs) via surveys, the jurisdiction’s administrative systems and dwelling audits conducted by jurisdictions.</w:t>
            </w:r>
          </w:p>
          <w:p>
            <w:pPr/>
            <w:r>
              <w:rPr>
                <w:rStyle w:val="row-content-rich-text"/>
              </w:rPr>
              <w:t xml:space="preserve">The annual data collection captures information about ICHOs, the dwellings they manage and the households assisted at 30 June 2012. Financial information is for the year ending 30 June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ee8aa7a359714495">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statutory authority established in 1987, governed by a </w:t>
            </w:r>
            <w:hyperlink w:history="true" r:id="R6f6fc89974664a88">
              <w:r>
                <w:rPr>
                  <w:rStyle w:val="Hyperlink"/>
                </w:rPr>
                <w:t xml:space="preserve">management Board</w:t>
              </w:r>
            </w:hyperlink>
            <w:r>
              <w:rPr>
                <w:rStyle w:val="row-content-rich-text"/>
              </w:rPr>
              <w:t xml:space="preserve">,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ee1823d6f35841a9">
              <w:r>
                <w:rPr>
                  <w:rStyle w:val="Hyperlink"/>
                  <w:i/>
                </w:rPr>
                <w:t xml:space="preserve">Australian Institute of Health and Welfare Act 1987</w:t>
              </w:r>
            </w:hyperlink>
            <w:r>
              <w:rPr>
                <w:rStyle w:val="row-content-rich-text"/>
              </w:rPr>
              <w:t xml:space="preserve">, in conjunction with compliance to the </w:t>
            </w:r>
            <w:hyperlink w:history="true" r:id="R2d695aefee264c4b">
              <w:r>
                <w:rPr>
                  <w:rStyle w:val="Hyperlink"/>
                  <w:i/>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r>
              <w:rPr>
                <w:rStyle w:val="row-content-rich-text"/>
              </w:rPr>
              <w:t xml:space="preserve">For further information see the AIHW website </w:t>
            </w:r>
            <w:hyperlink w:history="true" r:id="R7ca3252e464a427b">
              <w:r>
                <w:rPr>
                  <w:rStyle w:val="Hyperlink"/>
                </w:rPr>
                <w:t xml:space="preserve">www.aihw.gov.au</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and published annually. The reference period for this collection is the 2011–12 financial year and is mostly a 30 June 2012 snapshot, but also captures 2011–12 household activity. The most recent data available are for 2011–12.</w:t>
            </w:r>
          </w:p>
          <w:p>
            <w:pPr/>
            <w:r>
              <w:rPr>
                <w:rStyle w:val="row-content-rich-text"/>
              </w:rPr>
              <w:t xml:space="preserve">Data were due to be submitted to the AIHW on 19 October 2012. Victoria, South Australia and Tasmania did not meet this deadline but supplied data by 5 November 2012. Western Australia was granted an extension to 26 October 2012 and met the extended deadline. Australian Capital Territory initially believed that their organisation was out of scope but later supplied data. Finalised data was signed off by jurisdictions and made available for publishing on 4 February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Annual data are reported in </w:t>
            </w:r>
            <w:r>
              <w:rPr>
                <w:rStyle w:val="row-content-rich-text"/>
                <w:i/>
              </w:rPr>
              <w:t xml:space="preserve">Housing Assistance in Australia</w:t>
            </w:r>
            <w:r>
              <w:rPr>
                <w:rStyle w:val="row-content-rich-text"/>
              </w:rPr>
              <w:t xml:space="preserve">, the </w:t>
            </w:r>
            <w:r>
              <w:rPr>
                <w:rStyle w:val="row-content-rich-text"/>
                <w:i/>
              </w:rPr>
              <w:t xml:space="preserve">Report on Government Services 2014</w:t>
            </w:r>
            <w:r>
              <w:rPr>
                <w:rStyle w:val="row-content-rich-text"/>
              </w:rPr>
              <w:t xml:space="preserve"> and the COAG Reform Council’s NAHA Report </w:t>
            </w:r>
            <w:hyperlink w:history="true" r:id="R443ef39e09a74bf8">
              <w:r>
                <w:rPr>
                  <w:rStyle w:val="Hyperlink"/>
                </w:rPr>
                <w:t xml:space="preserve">http://www.coagreformcouncil.gov.au/reports/housing.cfm</w:t>
              </w:r>
            </w:hyperlink>
            <w:r>
              <w:rPr>
                <w:rStyle w:val="row-content-rich-text"/>
              </w:rPr>
              <w:t xml:space="preserve">.</w:t>
            </w:r>
          </w:p>
          <w:p>
            <w:pPr/>
            <w:r>
              <w:rPr>
                <w:rStyle w:val="row-content-rich-text"/>
              </w:rPr>
              <w:t xml:space="preserve">Users can request additional disaggregations of data, which are not available online or in reports, subject to jurisdiction approval, via the Housing Unit, Australian Institute of Health and Welfare on (02) 6244 1000 or via email to </w:t>
            </w:r>
            <w:hyperlink w:history="true" r:id="Rbc0e8c7c98054e72">
              <w:r>
                <w:rPr>
                  <w:rStyle w:val="Hyperlink"/>
                </w:rPr>
                <w:t xml:space="preserve">housing@aihw.gov.au</w:t>
              </w:r>
            </w:hyperlink>
            <w:r>
              <w:rPr>
                <w:rStyle w:val="row-content-rich-text"/>
              </w:rPr>
              <w:t xml:space="preserve">. Requests that take longer than half an hour to compile are charged for on a cost-recovery basis. General enquiries about AIHW publications can be made to the Communications, Media and Marketing Unit on (02) 6244 1032 or via email to </w:t>
            </w:r>
            <w:hyperlink w:history="true" r:id="R8da6c6a260084734">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National Housing Assistance Data Dictionary (AIHW Cat no. HOU147) </w:t>
            </w:r>
            <w:hyperlink w:history="true" r:id="R03c89b8c0c254b2e">
              <w:r>
                <w:rPr>
                  <w:rStyle w:val="Hyperlink"/>
                </w:rPr>
                <w:t xml:space="preserve">/content/index.phtml/itemId/236882</w:t>
              </w:r>
            </w:hyperlink>
            <w:r>
              <w:rPr>
                <w:rStyle w:val="row-content-rich-text"/>
              </w:rPr>
              <w:t xml:space="preserve">.</w:t>
            </w:r>
          </w:p>
          <w:p>
            <w:pPr/>
            <w:r>
              <w:rPr>
                <w:rStyle w:val="row-content-rich-text"/>
              </w:rPr>
              <w:t xml:space="preserve">Supplementary information can be found in the housing collection data manuals available at </w:t>
            </w:r>
            <w:hyperlink w:history="true" r:id="R58f5ff05f29d4449">
              <w:r>
                <w:rPr>
                  <w:rStyle w:val="Hyperlink"/>
                </w:rPr>
                <w:t xml:space="preserve">/content/index.phtml/itemId/487037</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Indigenous community housing (ICH) for the purposes of this collection includes all dwellings targeted to Indigenous people that are managed by an ICHO. ICHOs include community organisations such as resource agencies and land councils, which may have a range of functions, provided that they manage housing for Indigenous people. All data items except D1b (number of permanent dwellings managed by funded and unfunded organisations) and D19b (number of funded and unfunded ICHOs) exclude dwellings managed by unfunded organisations. For NSW this means excluding ICHOs that are not actively registered.</w:t>
            </w:r>
          </w:p>
          <w:p>
            <w:pPr/>
            <w:r>
              <w:rPr>
                <w:rStyle w:val="row-content-rich-text"/>
              </w:rPr>
              <w:t xml:space="preserve">The data are highly relevant for monitoring trends in the number of Indigenous households assisted in ICH. The data are used for many purposes, including by policy-makers to evaluate the living conditions of tenants in ICH dwellings and assessing the viability of ICHOs.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known issues with the accuracy of data collected:</w:t>
            </w:r>
          </w:p>
          <w:p>
            <w:pPr>
              <w:spacing w:after="160"/>
            </w:pPr>
            <w:r>
              <w:rPr>
                <w:rStyle w:val="row-content-rich-text"/>
              </w:rPr>
              <w:t xml:space="preserve">Care should be used in comparing data across jurisdictions due to variation in scope and/or definitions between administrative systems. This reflects the variation in how ICH operates across jurisdictions.</w:t>
            </w:r>
          </w:p>
          <w:p>
            <w:pPr>
              <w:spacing w:after="160"/>
            </w:pPr>
            <w:r>
              <w:rPr>
                <w:rStyle w:val="row-content-rich-text"/>
              </w:rPr>
              <w:t xml:space="preserve">Jurisdictions may use more than one source of data to compile information provided to AIHW which may affect data quality.</w:t>
            </w:r>
          </w:p>
          <w:p>
            <w:pPr>
              <w:spacing w:after="160"/>
            </w:pPr>
            <w:r>
              <w:rPr>
                <w:rStyle w:val="row-content-rich-text"/>
              </w:rPr>
              <w:t xml:space="preserve">In 2011–12, unit record data were provided by Victoria, Western Australia, South Australia, and Tasmania. A mix of unit record and aggregate data were provided by New South Wales, Queensland and the Northern Territory.</w:t>
            </w:r>
          </w:p>
          <w:p>
            <w:pPr>
              <w:spacing w:after="160"/>
            </w:pPr>
            <w:r>
              <w:rPr>
                <w:rStyle w:val="row-content-rich-text"/>
              </w:rPr>
              <w:t xml:space="preserve">In many cases complete data were not available for all dwellings or ICHOs in the jurisdiction. Therefore, data item totals and performance indicator values may not fully reflect the entire funded portion of Indigenous community housing.</w:t>
            </w:r>
          </w:p>
          <w:p>
            <w:pPr>
              <w:spacing w:after="160"/>
            </w:pPr>
            <w:r>
              <w:rPr>
                <w:rStyle w:val="row-content-rich-text"/>
              </w:rPr>
              <w:t xml:space="preserve">Performance indicators, reported as proportions, have been adjusted for non-response by excluding unknowns/ non-responders from the denominator. The national performance indicators, reported as proportions, were calculated using data from only those jurisdictions where both numerator and denominator were available and valid.</w:t>
            </w:r>
          </w:p>
          <w:p>
            <w:pPr>
              <w:spacing w:after="160"/>
            </w:pPr>
            <w:r>
              <w:rPr>
                <w:rStyle w:val="row-content-rich-text"/>
              </w:rPr>
              <w:t xml:space="preserve">Where coverage of data is less than 95%, details are included in the DQS for the relevant performance indicators.</w:t>
            </w:r>
          </w:p>
          <w:p>
            <w:pPr>
              <w:spacing w:after="160"/>
            </w:pPr>
            <w:r>
              <w:rPr>
                <w:rStyle w:val="row-content-rich-text"/>
              </w:rPr>
              <w:t xml:space="preserve"> </w:t>
            </w:r>
          </w:p>
          <w:p>
            <w:pPr>
              <w:spacing w:after="160"/>
            </w:pPr>
            <w:r>
              <w:rPr>
                <w:rStyle w:val="row-content-rich-text"/>
              </w:rPr>
              <w:t xml:space="preserve">Specific State/Territory issues are:</w:t>
            </w:r>
          </w:p>
          <w:p>
            <w:pPr>
              <w:spacing w:after="160"/>
            </w:pPr>
            <w:r>
              <w:rPr>
                <w:rStyle w:val="row-content-rich-text"/>
                <w:b/>
              </w:rPr>
              <w:t xml:space="preserve">New South Wales</w:t>
            </w:r>
          </w:p>
          <w:p>
            <w:pPr>
              <w:spacing w:after="160"/>
            </w:pPr>
            <w:r>
              <w:rPr>
                <w:rStyle w:val="row-content-rich-text"/>
              </w:rPr>
              <w:t xml:space="preserve">The ICH sector collects data from Aboriginal Community Housing Providers (ACHPs) that are actively registered with the Aboriginal Housing Office (AHO), rather than by their funding status. For the purposes of this collection being active registration is used as a proxy for funding, but it should be noted that actively registered does not mean the organisation receives funding.</w:t>
            </w:r>
          </w:p>
          <w:p>
            <w:pPr>
              <w:spacing w:after="160"/>
            </w:pPr>
            <w:r>
              <w:rPr>
                <w:rStyle w:val="row-content-rich-text"/>
              </w:rPr>
              <w:t xml:space="preserve">The data provided for the total number of permanent dwellings includes permanent dwellings managed by all Aboriginal housing providers in NSW, irrespective of whether they are actively registered and provided data as of June 2012 or not.</w:t>
            </w:r>
          </w:p>
          <w:p>
            <w:pPr>
              <w:spacing w:after="160"/>
            </w:pPr>
            <w:r>
              <w:rPr>
                <w:rStyle w:val="row-content-rich-text"/>
              </w:rPr>
              <w:t xml:space="preserve">The data provided are for permanent dwellings managed by ACHPs that are registered with AHO and provided data as at June 2012, or ACHPs which are still in scope that provided data from June 2011 with some updated data obtained from administrative sources.</w:t>
            </w:r>
          </w:p>
          <w:p>
            <w:pPr>
              <w:spacing w:after="160"/>
            </w:pPr>
            <w:r>
              <w:rPr>
                <w:rStyle w:val="row-content-rich-text"/>
                <w:b/>
              </w:rPr>
              <w:t xml:space="preserve">Queensland, Western Australia and South Australia</w:t>
            </w:r>
          </w:p>
          <w:p>
            <w:pPr>
              <w:spacing w:after="160"/>
            </w:pPr>
            <w:r>
              <w:rPr>
                <w:rStyle w:val="row-content-rich-text"/>
              </w:rPr>
              <w:t xml:space="preserve">The 2011–12 ICH data collection includes dwellings in Queensland, Western Australia and South Australia that are owned by Indigenous communities, but have transferred responsibility for tenancy management to the state housing authority.</w:t>
            </w:r>
          </w:p>
          <w:p>
            <w:pPr>
              <w:spacing w:after="160"/>
            </w:pPr>
            <w:r>
              <w:rPr>
                <w:rStyle w:val="row-content-rich-text"/>
                <w:b/>
              </w:rPr>
              <w:t xml:space="preserve">Western Australia</w:t>
            </w:r>
          </w:p>
          <w:p>
            <w:pPr>
              <w:spacing w:after="160"/>
            </w:pPr>
            <w:r>
              <w:rPr>
                <w:rStyle w:val="row-content-rich-text"/>
              </w:rPr>
              <w:t xml:space="preserve">In previous collections Western Australia provided aggregate data which included the number of unfunded as well as funded dwellings. In 2011-12, Western Australia was unable to provide data on the number of dwellings for unfunded ICHOs. These data were therefore not included in total dwellings. Consequently there was a significant decrease in the total number of dwellings reported for 2011-12.</w:t>
            </w:r>
          </w:p>
          <w:p>
            <w:pPr>
              <w:spacing w:after="160"/>
            </w:pPr>
            <w:r>
              <w:rPr>
                <w:rStyle w:val="row-content-rich-text"/>
                <w:b/>
              </w:rPr>
              <w:t xml:space="preserve">Australian Capital Territory</w:t>
            </w:r>
          </w:p>
          <w:p>
            <w:pPr>
              <w:spacing w:after="160"/>
            </w:pPr>
            <w:r>
              <w:rPr>
                <w:rStyle w:val="row-content-rich-text"/>
              </w:rPr>
              <w:t xml:space="preserve">In previous collections, historical data was used to provide data for the ACT. For the 2011-12 ICH collection, data for the current year were provided.</w:t>
            </w:r>
          </w:p>
          <w:p>
            <w:pPr>
              <w:spacing w:after="160"/>
            </w:pPr>
            <w:r>
              <w:rPr>
                <w:rStyle w:val="row-content-rich-text"/>
                <w:b/>
              </w:rPr>
              <w:t xml:space="preserve">Northern Territory</w:t>
            </w:r>
          </w:p>
          <w:p>
            <w:pPr>
              <w:spacing w:after="160"/>
            </w:pPr>
            <w:r>
              <w:rPr>
                <w:rStyle w:val="row-content-rich-text"/>
              </w:rPr>
              <w:t xml:space="preserve">ICH dwellings are managed by ICHOs located in very remote parts of the Northern Territory. These ICHOs provide tenancy and maintenance services not only to dwellings in the community they are located in but also to outlying communities and outstations.</w:t>
            </w:r>
          </w:p>
          <w:p>
            <w:pPr>
              <w:spacing w:after="160"/>
            </w:pPr>
            <w:r>
              <w:rPr>
                <w:rStyle w:val="row-content-rich-text"/>
              </w:rPr>
              <w:t xml:space="preserve">Some of the outlying communities and outstations are inaccessible for parts of the year (mainly during the wet season) and some only consist of a handful of dwellings.</w:t>
            </w:r>
          </w:p>
          <w:p>
            <w:pPr>
              <w:spacing w:after="160"/>
            </w:pPr>
            <w:r>
              <w:rPr>
                <w:rStyle w:val="row-content-rich-text"/>
              </w:rPr>
              <w:t xml:space="preserve">The Northern Territory government relies on the information collected by the ICHOs and there is a shared understanding that it is not always possible for the ICHO to have current information on these locations, due to distance and access issues.</w:t>
            </w:r>
          </w:p>
          <w:p>
            <w:pPr/>
            <w:r>
              <w:rPr>
                <w:rStyle w:val="row-content-rich-text"/>
              </w:rPr>
              <w:t xml:space="preserve">For 2011–12, no data were collected on these outstation dwellings.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provided by jurisdictions may not be comparable to previous years due to variations in response rates to the survey from ICHOs.</w:t>
            </w:r>
          </w:p>
          <w:p>
            <w:pPr>
              <w:spacing w:after="160"/>
            </w:pPr>
            <w:r>
              <w:rPr>
                <w:rStyle w:val="row-content-rich-text"/>
              </w:rPr>
              <w:t xml:space="preserve">For specific caveats on previous years’ data, consult the footnotes and DQS in the relevant edition of this report.</w:t>
            </w:r>
          </w:p>
          <w:p>
            <w:pPr>
              <w:spacing w:after="160"/>
            </w:pPr>
            <w:r>
              <w:rPr>
                <w:rStyle w:val="row-content-rich-text"/>
              </w:rPr>
              <w:t xml:space="preserve">The scope of the ICH collection was restricted in 2009–10 to include only funded organisations (i.e. ICHOs that received funding in the reported financial year) due to unavailability of data.</w:t>
            </w:r>
          </w:p>
          <w:p>
            <w:pPr>
              <w:spacing w:after="160"/>
            </w:pPr>
            <w:r>
              <w:rPr>
                <w:rStyle w:val="row-content-rich-text"/>
              </w:rPr>
              <w:t xml:space="preserve">Since 2009–10, only ICHOs and dwelling numbers are reported for unfunded organisations (i.e. ICHOs that received funding in previous financial years but not in the reported financial year).</w:t>
            </w:r>
          </w:p>
          <w:p>
            <w:pPr>
              <w:spacing w:after="160"/>
            </w:pPr>
            <w:r>
              <w:rPr>
                <w:rStyle w:val="row-content-rich-text"/>
              </w:rPr>
              <w:t xml:space="preserve">From 2009–10, the scope of the ICH collection was consistent with the scope of the 2006–07 and earlier collections. The 2008–09 and 2007–08 collections however, differ in scope as they included unfunded ICHOs.</w:t>
            </w:r>
          </w:p>
          <w:p>
            <w:pPr>
              <w:spacing w:after="160"/>
            </w:pPr>
            <w:r>
              <w:rPr>
                <w:rStyle w:val="row-content-rich-text"/>
              </w:rPr>
              <w:t xml:space="preserve">Previously, the Australian Government had administrative responsibility for some ICHOs in Victoria, Queensland and all ICHOs in Tasmania. Data for these dwellings were reported collectively under the jurisdiction ‘Australian Government’. In 2009, responsibility for these ICHOs was transferred and data for these dwellings are now reported under the relevant state or territory.</w:t>
            </w:r>
          </w:p>
          <w:p>
            <w:pPr>
              <w:spacing w:after="160"/>
            </w:pPr>
            <w:r>
              <w:rPr>
                <w:rStyle w:val="row-content-rich-text"/>
              </w:rPr>
              <w:t xml:space="preserve"> </w:t>
            </w:r>
          </w:p>
          <w:p>
            <w:pPr>
              <w:spacing w:after="160"/>
            </w:pPr>
            <w:r>
              <w:rPr>
                <w:rStyle w:val="row-content-rich-text"/>
              </w:rPr>
              <w:t xml:space="preserve">Specific State/Territory issues are:</w:t>
            </w:r>
          </w:p>
          <w:p>
            <w:pPr>
              <w:spacing w:after="160"/>
            </w:pPr>
            <w:r>
              <w:rPr>
                <w:rStyle w:val="row-content-rich-text"/>
                <w:b/>
              </w:rPr>
              <w:t xml:space="preserve">Victoria</w:t>
            </w:r>
          </w:p>
          <w:p>
            <w:pPr>
              <w:spacing w:after="160"/>
            </w:pPr>
            <w:r>
              <w:rPr>
                <w:rStyle w:val="row-content-rich-text"/>
              </w:rPr>
              <w:t xml:space="preserve">For the two years prior to 2009–10, Victoria reported against one agency (Aboriginal Housing Victoria) for ICH. From 2009–10 Victoria is reporting on an additional 18 agencies since assuming administrative responsibility for the former Community Housing and Infrastructure Program (CHIP), previously managed by the Commonwealth. Due to this change Victorian data is not comparable with previous years.</w:t>
            </w:r>
          </w:p>
          <w:p>
            <w:pPr>
              <w:spacing w:after="160"/>
            </w:pPr>
            <w:r>
              <w:rPr>
                <w:rStyle w:val="row-content-rich-text"/>
                <w:b/>
              </w:rPr>
              <w:t xml:space="preserve">Queensland</w:t>
            </w:r>
          </w:p>
          <w:p>
            <w:pPr>
              <w:spacing w:after="160"/>
            </w:pPr>
            <w:r>
              <w:rPr>
                <w:rStyle w:val="row-content-rich-text"/>
              </w:rPr>
              <w:t xml:space="preserve">The dwelling numbers for unfunded organisations were provided by the Department of Families, Housing, Community Services and Indigenous Affairs (FaHCSIA) in 2008 and have not been verified by FaHCSIA as being correct. Permanent dwellings in unfunded organisations are therefore not included.</w:t>
            </w:r>
          </w:p>
          <w:p>
            <w:pPr>
              <w:spacing w:after="160"/>
            </w:pPr>
            <w:r>
              <w:rPr>
                <w:rStyle w:val="row-content-rich-text"/>
                <w:b/>
              </w:rPr>
              <w:t xml:space="preserve">South Australia</w:t>
            </w:r>
          </w:p>
          <w:p>
            <w:pPr>
              <w:spacing w:after="160"/>
            </w:pPr>
            <w:r>
              <w:rPr>
                <w:rStyle w:val="row-content-rich-text"/>
              </w:rPr>
              <w:t xml:space="preserve">All dwelling and household data are based on tenancy and asset audits conducted in 2011 and 2012. Data provided prior to 2011-12 were based on audits conducted in 2007 and 2008.</w:t>
            </w:r>
          </w:p>
          <w:p>
            <w:pPr>
              <w:spacing w:after="160"/>
            </w:pPr>
            <w:r>
              <w:rPr>
                <w:rStyle w:val="row-content-rich-text"/>
              </w:rPr>
              <w:t xml:space="preserve">A new system has been implemented which has improved the quality of the data. This may result in data that are different to previous years and any significant variations from previous years should be viewed with caution.</w:t>
            </w:r>
          </w:p>
          <w:p>
            <w:pPr>
              <w:spacing w:after="160"/>
            </w:pPr>
            <w:r>
              <w:rPr>
                <w:rStyle w:val="row-content-rich-text"/>
              </w:rPr>
              <w:t xml:space="preserve"> </w:t>
            </w:r>
          </w:p>
          <w:p>
            <w:pPr/>
            <w:r>
              <w:rPr>
                <w:rStyle w:val="row-content-rich-text"/>
              </w:rPr>
              <w:t xml:space="preserve">Data from the 2011–12 ICH collection are comparable to other relevant data sources such as the </w:t>
            </w:r>
            <w:r>
              <w:rPr>
                <w:rStyle w:val="row-content-rich-text"/>
                <w:i/>
              </w:rPr>
              <w:t xml:space="preserve">ABS Community Housing and Infrastructure Needs Survey</w:t>
            </w:r>
            <w:hyperlink w:history="true" r:id="Rccce21e144ce494d">
              <w:r>
                <w:rPr>
                  <w:rStyle w:val="Hyperlink"/>
                </w:rPr>
                <w:t xml:space="preserve">http://www.abs.gov.au/AUSSTATS/abs@.nsf/DSSbyCollectionid/B65AB82E947FCBD4CA256BD0002827F0</w:t>
              </w:r>
            </w:hyperlink>
            <w:r>
              <w:rPr>
                <w:rStyle w:val="row-content-rich-text"/>
              </w:rPr>
              <w:t xml:space="preserve"> and the </w:t>
            </w:r>
            <w:r>
              <w:rPr>
                <w:rStyle w:val="row-content-rich-text"/>
                <w:i/>
              </w:rPr>
              <w:t xml:space="preserve">National Aboriginal and Torres Strait Islander Survey</w:t>
            </w:r>
            <w:hyperlink w:history="true" r:id="Ra291a078a7844df3">
              <w:r>
                <w:rPr>
                  <w:rStyle w:val="Hyperlink"/>
                </w:rPr>
                <w:t xml:space="preserve">http://www.abs.gov.au/ausstats/abs@.nsf/mf/4714.0/</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13/08/2013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3a868e050be4051">
              <w:r>
                <w:rPr>
                  <w:rStyle w:val="Hyperlink"/>
                </w:rPr>
                <w:t xml:space="preserve">Indigenous community housing data collection 2010–11 Data Quality Statement</w:t>
              </w:r>
            </w:hyperlink>
          </w:p>
          <w:p>
            <w:pPr>
              <w:spacing w:before="0" w:after="0"/>
            </w:pPr>
            <w:r>
              <w:rPr>
                <w:rStyle w:val="row-content"/>
                <w:color w:val="244061"/>
              </w:rPr>
              <w:t xml:space="preserve">       </w:t>
            </w:r>
            <w:hyperlink w:history="true" r:id="R5c3be75fa61e4bf7">
              <w:r>
                <w:rPr>
                  <w:rStyle w:val="Hyperlink"/>
                  <w:color w:val="244061"/>
                </w:rPr>
                <w:t xml:space="preserve">AIHW Data Quality Statements</w:t>
              </w:r>
            </w:hyperlink>
            <w:r>
              <w:rPr>
                <w:rStyle w:val="row-content"/>
                <w:color w:val="244061"/>
              </w:rPr>
              <w:t xml:space="preserve">, Superseded 05/06/2015</w:t>
            </w:r>
          </w:p>
          <w:p>
            <w:pPr>
              <w:spacing w:before="0" w:after="0"/>
            </w:pPr>
            <w:r>
              <w:rPr>
                <w:rStyle w:val="row-content"/>
                <w:color w:val="244061"/>
              </w:rPr>
              <w:t xml:space="preserve">       </w:t>
            </w:r>
            <w:hyperlink w:history="true" r:id="Reb6cb5af786d49ba">
              <w:r>
                <w:rPr>
                  <w:rStyle w:val="Hyperlink"/>
                  <w:color w:val="244061"/>
                </w:rPr>
                <w:t xml:space="preserve">Indigenous</w:t>
              </w:r>
            </w:hyperlink>
            <w:r>
              <w:rPr>
                <w:rStyle w:val="row-content"/>
                <w:color w:val="244061"/>
              </w:rPr>
              <w:t xml:space="preserve">, Standard 05/12/2012</w:t>
            </w:r>
          </w:p>
          <w:p>
            <w:r>
              <w:br/>
            </w:r>
            <w:r>
              <w:rPr>
                <w:rStyle w:val="row-content"/>
              </w:rPr>
              <w:t xml:space="preserve">Has been superseded by </w:t>
            </w:r>
            <w:hyperlink w:history="true" r:id="R0f67c836719e49c1">
              <w:r>
                <w:rPr>
                  <w:rStyle w:val="Hyperlink"/>
                </w:rPr>
                <w:t xml:space="preserve">Indigenous community housing 2012-13 Data Quality Statement</w:t>
              </w:r>
            </w:hyperlink>
          </w:p>
          <w:p>
            <w:pPr>
              <w:spacing w:before="0" w:after="0"/>
            </w:pPr>
            <w:r>
              <w:rPr>
                <w:rStyle w:val="row-content"/>
                <w:color w:val="244061"/>
              </w:rPr>
              <w:t xml:space="preserve">       </w:t>
            </w:r>
            <w:hyperlink w:history="true" r:id="R35b956c0dbc8444f">
              <w:r>
                <w:rPr>
                  <w:rStyle w:val="Hyperlink"/>
                  <w:color w:val="244061"/>
                </w:rPr>
                <w:t xml:space="preserve">AIHW Data Quality Statements</w:t>
              </w:r>
            </w:hyperlink>
            <w:r>
              <w:rPr>
                <w:rStyle w:val="row-content"/>
                <w:color w:val="244061"/>
              </w:rPr>
              <w:t xml:space="preserve">, Superseded 05/06/2015</w:t>
            </w:r>
          </w:p>
          <w:p>
            <w:r>
              <w:br/>
            </w:r>
          </w:p>
        </w:tc>
      </w:tr>
    </w:tbl>
    <w:p>
      <w:r>
        <w:br/>
      </w:r>
    </w:p>
    <w:sectPr>
      <w:footerReference xmlns:r="http://schemas.openxmlformats.org/officeDocument/2006/relationships" w:type="default" r:id="R4d09b65c007143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538900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21fae56fc344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09b65c007143e7" /><Relationship Type="http://schemas.openxmlformats.org/officeDocument/2006/relationships/header" Target="/word/header1.xml" Id="R952337248a894f1f" /><Relationship Type="http://schemas.openxmlformats.org/officeDocument/2006/relationships/settings" Target="/word/settings.xml" Id="R6a34ecf525c3497d" /><Relationship Type="http://schemas.openxmlformats.org/officeDocument/2006/relationships/styles" Target="/word/styles.xml" Id="R990f242b36e34c87" /><Relationship Type="http://schemas.openxmlformats.org/officeDocument/2006/relationships/hyperlink" Target="https://meteor.aihw.gov.au/RegistrationAuthority/5" TargetMode="External" Id="R4427fb0a879c491a" /><Relationship Type="http://schemas.openxmlformats.org/officeDocument/2006/relationships/numbering" Target="/word/numbering.xml" Id="R3123af8d5019405d" /><Relationship Type="http://schemas.openxmlformats.org/officeDocument/2006/relationships/hyperlink" Target="http://intranet/index.cfm/13,591,86,html" TargetMode="External" Id="Ree8aa7a359714495" /><Relationship Type="http://schemas.openxmlformats.org/officeDocument/2006/relationships/hyperlink" Target="http://www.aihw.gov.au/aihw-board/" TargetMode="External" Id="R6f6fc89974664a88" /><Relationship Type="http://schemas.openxmlformats.org/officeDocument/2006/relationships/hyperlink" Target="http://intranet/index.cfm/13,591,86,html" TargetMode="External" Id="Ree1823d6f35841a9" /><Relationship Type="http://schemas.openxmlformats.org/officeDocument/2006/relationships/hyperlink" Target="http://www.comlaw.gov.au/Details/C2011C00503" TargetMode="External" Id="R2d695aefee264c4b" /><Relationship Type="http://schemas.openxmlformats.org/officeDocument/2006/relationships/hyperlink" Target="http://www.aihw.gov.au" TargetMode="External" Id="R7ca3252e464a427b" /><Relationship Type="http://schemas.openxmlformats.org/officeDocument/2006/relationships/hyperlink" Target="http://www.coagreformcouncil.gov.au/reports/housing.cfm" TargetMode="External" Id="R443ef39e09a74bf8" /><Relationship Type="http://schemas.openxmlformats.org/officeDocument/2006/relationships/hyperlink" Target="mailto:housing@aihw.gov.au" TargetMode="External" Id="Rbc0e8c7c98054e72" /><Relationship Type="http://schemas.openxmlformats.org/officeDocument/2006/relationships/hyperlink" Target="mailto:info@aihw.gov.au" TargetMode="External" Id="R8da6c6a260084734" /><Relationship Type="http://schemas.openxmlformats.org/officeDocument/2006/relationships/hyperlink" Target="https://meteor.aihw.gov.au/content/236882" TargetMode="External" Id="R03c89b8c0c254b2e" /><Relationship Type="http://schemas.openxmlformats.org/officeDocument/2006/relationships/hyperlink" Target="https://meteor.aihw.gov.au/content/487037" TargetMode="External" Id="R58f5ff05f29d4449" /><Relationship Type="http://schemas.openxmlformats.org/officeDocument/2006/relationships/hyperlink" Target="http://www.abs.gov.au/AUSSTATS/abs@.nsf/DSSbyCollectionid/B65AB82E947FCBD4CA256BD0002827F0" TargetMode="External" Id="Rccce21e144ce494d" /><Relationship Type="http://schemas.openxmlformats.org/officeDocument/2006/relationships/hyperlink" Target="http://www.abs.gov.au/ausstats/abs@.nsf/mf/4714.0/" TargetMode="External" Id="Ra291a078a7844df3" /><Relationship Type="http://schemas.openxmlformats.org/officeDocument/2006/relationships/hyperlink" Target="https://meteor.aihw.gov.au/content/495770" TargetMode="External" Id="R13a868e050be4051" /><Relationship Type="http://schemas.openxmlformats.org/officeDocument/2006/relationships/hyperlink" Target="https://meteor.aihw.gov.au/RegistrationAuthority/5" TargetMode="External" Id="R5c3be75fa61e4bf7" /><Relationship Type="http://schemas.openxmlformats.org/officeDocument/2006/relationships/hyperlink" Target="https://meteor.aihw.gov.au/RegistrationAuthority/6" TargetMode="External" Id="Reb6cb5af786d49ba" /><Relationship Type="http://schemas.openxmlformats.org/officeDocument/2006/relationships/hyperlink" Target="https://meteor.aihw.gov.au/content/600285" TargetMode="External" Id="R0f67c836719e49c1" /><Relationship Type="http://schemas.openxmlformats.org/officeDocument/2006/relationships/hyperlink" Target="https://meteor.aihw.gov.au/RegistrationAuthority/5" TargetMode="External" Id="R35b956c0dbc8444f" /></Relationships>
</file>

<file path=word/_rels/header1.xml.rels>&#65279;<?xml version="1.0" encoding="utf-8"?><Relationships xmlns="http://schemas.openxmlformats.org/package/2006/relationships"><Relationship Type="http://schemas.openxmlformats.org/officeDocument/2006/relationships/image" Target="/media/image.png" Id="Rdf21fae56fc344ce" /></Relationships>
</file>