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e635e532584a45"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allied health practitioners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allied health practitioners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df82735c8476f">
              <w:r>
                <w:rPr>
                  <w:rStyle w:val="Hyperlink"/>
                  <w:color w:val="244061"/>
                </w:rPr>
                <w:t xml:space="preserve">AIHW Data Quality Statements</w:t>
              </w:r>
            </w:hyperlink>
            <w:r>
              <w:rPr>
                <w:rStyle w:val="row-content"/>
                <w:color w:val="244061"/>
              </w:rPr>
              <w:t xml:space="preserve">, Standard 10/09/2013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NHWDS: allied health practitioners 2012 contains information on the demographics, employment characteristics, primary work location and work activity of all allied health practitioners in Australia who renewed their registration with their respective health profession board via the National Registration and Accreditation Scheme (NRAS) introduced on 1 July 2010.</w:t>
            </w:r>
          </w:p>
          <w:p>
            <w:pPr>
              <w:spacing w:after="160"/>
            </w:pPr>
            <w:r>
              <w:rPr>
                <w:rStyle w:val="row-content-rich-text"/>
              </w:rPr>
              <w:t xml:space="preserve">This is the first data published for allied health practitioners from the new national registration scheme. The data set is comprised of registration information provided by the Australian Health Practitioner Regulation Agency (AHPRA) and workforce details obtained by surveys.</w:t>
            </w:r>
          </w:p>
          <w:p>
            <w:pPr>
              <w:spacing w:after="160"/>
            </w:pPr>
            <w:r>
              <w:rPr>
                <w:rStyle w:val="row-content-rich-text"/>
              </w:rPr>
              <w:t xml:space="preserve">This data quality statement should be read in conjunction with the footnotes and commentary accompanying tables and graphs throughout the </w:t>
            </w:r>
            <w:r>
              <w:rPr>
                <w:rStyle w:val="row-content-rich-text"/>
                <w:i/>
              </w:rPr>
              <w:t xml:space="preserve">Allied health workforce 2012</w:t>
            </w:r>
            <w:r>
              <w:rPr>
                <w:rStyle w:val="row-content-rich-text"/>
              </w:rPr>
              <w:t xml:space="preserve"> report.</w:t>
            </w:r>
          </w:p>
          <w:p>
            <w:pPr>
              <w:spacing w:after="160"/>
            </w:pPr>
            <w:r>
              <w:rPr>
                <w:rStyle w:val="row-content-rich-text"/>
                <w:b/>
              </w:rPr>
              <w:t xml:space="preserve">Description </w:t>
            </w:r>
          </w:p>
          <w:p>
            <w:pPr>
              <w:spacing w:after="160"/>
            </w:pPr>
            <w:r>
              <w:rPr>
                <w:rStyle w:val="row-content-rich-text"/>
              </w:rPr>
              <w:t xml:space="preserve">The NHWDS: allied health practitioners 2012 is a combination of data collected through the practitioner registration renewal process.</w:t>
            </w:r>
          </w:p>
          <w:p>
            <w:pPr>
              <w:spacing w:after="160"/>
            </w:pPr>
            <w:r>
              <w:rPr>
                <w:rStyle w:val="row-content-rich-text"/>
                <w:b/>
              </w:rPr>
              <w:t xml:space="preserve">Registration data</w:t>
            </w:r>
          </w:p>
          <w:p>
            <w:pPr>
              <w:spacing w:after="160"/>
            </w:pPr>
            <w:r>
              <w:rPr>
                <w:rStyle w:val="row-content-rich-text"/>
              </w:rPr>
              <w:t xml:space="preserve">Almost all allied health practitioners must be registered with the AHPRA to practise in Australia. The exception is those Aboriginal health workers who are not required by their employer to use a defined list of job titles. Allied health practitioners, with the exception of Aboriginal health workers who are not required by their employer to use the title 'Aboriginal and Torres Strait Islander health practitioner',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w:t>
            </w:r>
          </w:p>
          <w:p>
            <w:pPr>
              <w:spacing w:after="160"/>
            </w:pPr>
            <w:r>
              <w:rPr>
                <w:rStyle w:val="row-content-rich-text"/>
              </w:rPr>
              <w:t xml:space="preserve">Registration details on NHWDS: allied health practitioners 2012 were collected either from the compulsory registration renewal form, new registrations or registration details migrated from the respective state and territory health boards before their dissolution.</w:t>
            </w:r>
          </w:p>
          <w:p>
            <w:pPr>
              <w:spacing w:after="160"/>
            </w:pPr>
            <w:r>
              <w:rPr>
                <w:rStyle w:val="row-content-rich-text"/>
              </w:rPr>
              <w:t xml:space="preserve">Copies of registration forms for new registrants are available on the relevant board websites, which can be accessed from the AHPRA website </w:t>
            </w:r>
            <w:hyperlink w:history="true" r:id="R34d2bc47d6f344b6">
              <w:r>
                <w:rPr>
                  <w:rStyle w:val="Hyperlink"/>
                </w:rPr>
                <w:t xml:space="preserve">http://www.ahpra.gov.au/</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practitioners renew their registration online they are asked to complete an online survey customised for each profession. When practitioners renew their registration using a paper form they are also asked to complete a paper version of the relevant survey.</w:t>
            </w:r>
          </w:p>
          <w:p>
            <w:pPr>
              <w:spacing w:after="160"/>
            </w:pPr>
            <w:r>
              <w:rPr>
                <w:rStyle w:val="row-content-rich-text"/>
              </w:rPr>
              <w:t xml:space="preserve">Copies of the survey forms are available from the AIHW website http://www.aihw.gov.au/workforce-publications/ (select link to Allied health workforce 2012).</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survey information in separate databases. They send these two de-identified data sets to the Australian Institute of Health and Welfare (AIHW), where they are merged into a national data set.</w:t>
            </w:r>
          </w:p>
          <w:p>
            <w:pPr/>
            <w:r>
              <w:rPr>
                <w:rStyle w:val="row-content-rich-text"/>
              </w:rPr>
              <w:t xml:space="preserve">When practitioners renew their registration using a paper form they are also asked to complete a paper version of the relevant survey. The paper registration and survey forms are sent to the AHPRA, where the paper registration forms are scanned and merged with the data obtained from the online process. The AHPRA sends the paper survey forms to Health Workforce Australia (HWA) to be scanned into a data set. HWA sends this data set to AIHW for merging with the online survey forms and registration data, cleansing and adjustment for non-response to form a nationally consistent data set. The final data set is then known as the National Health Workforce Data Set: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c293cfa8fb734d81">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HWA are responsible for the development of the workforce surveys.</w:t>
            </w:r>
          </w:p>
          <w:p>
            <w:pPr>
              <w:spacing w:after="160"/>
            </w:pPr>
            <w:r>
              <w:rPr>
                <w:rStyle w:val="row-content-rich-text"/>
              </w:rPr>
              <w:t xml:space="preserve">The AIHW receives registration information on allied health practitioners via the mandatory national registration process administered by the AHPRA and voluntary survey data collected at the time of registration renewal. The registration and survey data are combined, cleansed and adjusted for non-response to form a national data set known as NHWDS: allied health practitioners 2012.</w:t>
            </w:r>
          </w:p>
          <w:p>
            <w:pPr/>
            <w:r>
              <w:rPr>
                <w:rStyle w:val="row-content-rich-text"/>
              </w:rPr>
              <w:t xml:space="preserve">The AIHW is the data custodian of the NHWDS: allied health practitioners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allied health practitioners, is produced annually from the national registration renewal process, and conducted between 1 October and 30 November (the renewal date) each year. Although the reference time is notionally the renewal date, legislation allows for a 1 month period of grace. Thus, the final registration closure date is 1 month after the renewal date. The AHPRA allow a further 2 weeks to allow for mail and data entry delays before the registrations are considered expired. Consequently the extraction of data occurs (the extraction date) a month and a half after the renewal date.</w:t>
            </w:r>
          </w:p>
          <w:p>
            <w:pPr>
              <w:spacing w:after="160"/>
            </w:pPr>
            <w:r>
              <w:rPr>
                <w:rStyle w:val="row-content-rich-text"/>
              </w:rPr>
              <w:t xml:space="preserve">The survey data are also collected between 1 October and 30 November, as it is administered as part of the registration renewal process.</w:t>
            </w:r>
          </w:p>
          <w:p>
            <w:pPr>
              <w:spacing w:after="160"/>
            </w:pPr>
            <w:r>
              <w:rPr>
                <w:rStyle w:val="row-content-rich-text"/>
              </w:rPr>
              <w:t xml:space="preserve">The exceptions to this timetable are in relation to limited and provisional registrations, where the registrant is renewed on the anniversary of their commencement. These responses are included with the regular survey respondents.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Data provided needed joint reviews by the AHPRA, AIHW and HWA to manage the range of considerations and data quality issues.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HWA has provided funding and assistance to AHPRA to improve their survey tool infrastructure to improve timeliness and quality of data provision in future.</w:t>
            </w:r>
          </w:p>
          <w:p>
            <w:pPr/>
            <w:r>
              <w:rPr>
                <w:rStyle w:val="row-content-rich-text"/>
              </w:rPr>
              <w:t xml:space="preserve">The AIHW did not receive complete data for both 2011 and 2012 until May 2013. AHPRA have indicated that future data provision is anticipated to be timely and provided six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allied health practitioners 2012 are published in the </w:t>
            </w:r>
            <w:r>
              <w:rPr>
                <w:rStyle w:val="row-content-rich-text"/>
                <w:i/>
              </w:rPr>
              <w:t xml:space="preserve">Allied health workforce 2012</w:t>
            </w:r>
            <w:r>
              <w:rPr>
                <w:rStyle w:val="row-content-rich-text"/>
              </w:rPr>
              <w:t xml:space="preserve"> report. The report also includes results for 2011.The report and workforce survey questionnaires are available from the AIHW website </w:t>
            </w:r>
            <w:hyperlink w:history="true" r:id="Rdfae61ed82c046f0">
              <w:r>
                <w:rPr>
                  <w:rStyle w:val="Hyperlink"/>
                </w:rPr>
                <w:t xml:space="preserve">http://www.aihw.gov.au/workforce-publications/</w:t>
              </w:r>
            </w:hyperlink>
            <w:r>
              <w:rPr>
                <w:rStyle w:val="row-content-rich-text"/>
              </w:rPr>
              <w:t xml:space="preserve"> (select link to Allied health workforce 2012).</w:t>
            </w:r>
          </w:p>
          <w:p>
            <w:pPr>
              <w:spacing w:after="160"/>
            </w:pPr>
            <w:r>
              <w:rPr>
                <w:rStyle w:val="row-content-rich-text"/>
              </w:rPr>
              <w:t xml:space="preserve">Users can request data not available online or in reports via the Media and Strategic Engagement Unit on (02) 6244 1032 or via email to </w:t>
            </w:r>
            <w:hyperlink w:history="true" r:id="R0276229f51b543c6">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Access to the master unit record files may be requested through the AIHW Ethics Committee.</w:t>
            </w:r>
          </w:p>
          <w:p>
            <w:pPr/>
            <w:r>
              <w:rPr>
                <w:rStyle w:val="row-content-rich-text"/>
              </w:rPr>
              <w:t xml:space="preserve">HWA provide a data tabulation tool, including data from the National health workforce dataset, on their website </w:t>
            </w:r>
            <w:hyperlink w:history="true" r:id="R4bec4f01dbba49e6">
              <w:r>
                <w:rPr>
                  <w:rStyle w:val="Hyperlink"/>
                </w:rPr>
                <w:t xml:space="preserve">http://www.hwa.gov.au/work-programs/information-analysis-and-planning</w:t>
              </w:r>
              <w:r>
                <w:br/>
              </w:r>
              <w:r>
                <w:rPr>
                  <w:rStyle w:val="row-content-rich-text"/>
                </w:rPr>
                <w:t xml:space="preserve">/health-workforce-data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allied health practitioners 2012 are available on request from the Expenditure and Workforce Unit at the AIHW.</w:t>
            </w:r>
          </w:p>
          <w:p>
            <w:pPr/>
            <w:r>
              <w:rPr>
                <w:rStyle w:val="row-content-rich-text"/>
              </w:rPr>
              <w:t xml:space="preserve">The surveys used by each allied health profession are available from the AIHW website </w:t>
            </w:r>
            <w:hyperlink w:history="true" r:id="R70c08bf8c30945a2">
              <w:r>
                <w:rPr>
                  <w:rStyle w:val="Hyperlink"/>
                </w:rPr>
                <w:t xml:space="preserve">http://www.aihw.gov.au/workforce-publications/</w:t>
              </w:r>
            </w:hyperlink>
            <w:r>
              <w:rPr>
                <w:rStyle w:val="row-content-rich-text"/>
              </w:rPr>
              <w:t xml:space="preserve"> (select link to Allied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allied health practitioners 2012 is highly relevant for understanding the size and characteristics of the allied health workforce in Australia.</w:t>
            </w:r>
          </w:p>
          <w:p>
            <w:pPr>
              <w:spacing w:after="160"/>
            </w:pPr>
            <w:r>
              <w:rPr>
                <w:rStyle w:val="row-content-rich-text"/>
              </w:rPr>
              <w:t xml:space="preserve">The NHWDS: allied health practitioners 2012 is highly relevant for health agencies involved in workforce planning as well health policy planning and implementation in general.</w:t>
            </w:r>
          </w:p>
          <w:p>
            <w:pPr>
              <w:spacing w:after="160"/>
            </w:pPr>
            <w:r>
              <w:rPr>
                <w:rStyle w:val="row-content-rich-text"/>
              </w:rPr>
              <w:t xml:space="preserve">The location and distribution of the workforce, as well as demographic details such as age and sex of practitioners are highly useful for workforce planning within states and territories and nationally. Information on qualifications is relevant for the relevant professional associations and educational planning.</w:t>
            </w:r>
          </w:p>
          <w:p>
            <w:pPr>
              <w:spacing w:after="160"/>
            </w:pPr>
            <w:r>
              <w:rPr>
                <w:rStyle w:val="row-content-rich-text"/>
              </w:rPr>
              <w:t xml:space="preserve">The primary purpose of the National Health Workforce Data Set: allied health practitioners 2012 is to provide information on the number and demographic and employment characteristics of the each of the following allied health practitioners:</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w:t>
            </w:r>
          </w:p>
          <w:p>
            <w:pPr>
              <w:pStyle w:val="ListParagraph"/>
              <w:numPr>
                <w:ilvl w:val="0"/>
                <w:numId w:val="2"/>
              </w:numPr>
            </w:pPr>
            <w:r>
              <w:rPr>
                <w:rStyle w:val="row-content-rich-text"/>
              </w:rPr>
              <w:t xml:space="preserve">occupational therapists</w:t>
            </w:r>
          </w:p>
          <w:p>
            <w:pPr>
              <w:pStyle w:val="ListParagraph"/>
              <w:numPr>
                <w:ilvl w:val="0"/>
                <w:numId w:val="2"/>
              </w:numPr>
            </w:pPr>
            <w:r>
              <w:rPr>
                <w:rStyle w:val="row-content-rich-text"/>
              </w:rPr>
              <w:t xml:space="preserve">medical radiation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Chinese medicine practitioners</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Aboriginal and Torres Strait Islander health practitioners. </w:t>
            </w:r>
          </w:p>
          <w:p>
            <w:pPr>
              <w:spacing w:after="160"/>
            </w:pPr>
            <w:r>
              <w:rPr>
                <w:rStyle w:val="row-content-rich-text"/>
              </w:rPr>
              <w:t xml:space="preserve">The NHWDS: allied health practitioners 2012 contains registration details of all the registered allied health practitioners in Australia at the extraction date, a month and a half after the nominal renewal date of 30 November 2012.</w:t>
            </w:r>
          </w:p>
          <w:p>
            <w:pPr>
              <w:spacing w:after="160"/>
            </w:pPr>
            <w:r>
              <w:rPr>
                <w:rStyle w:val="row-content-rich-text"/>
              </w:rPr>
              <w:t xml:space="preserve">The NHWDS: allied health practitioners 2012 also contain details from the surveys. The surveys collect information on the employment characteristics, work locations and work activity of practitioners. Completion of the surveys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w:t>
            </w:r>
          </w:p>
          <w:p>
            <w:pPr/>
            <w:r>
              <w:rPr>
                <w:rStyle w:val="row-content-rich-text"/>
              </w:rPr>
              <w:t xml:space="preserve">Due to transition arrangements between pre-existing state/territory-based registration systems and the NRAS, people previously registered as medical radiation practitioners in Queensland, Western Australia and Tasmania or occupational therapists previously registered in Queensland, Western Australia and South Australia may not have been required to renew their registration in 2012 and hence did not receive a survey. Registration data for these people was migrated from pre-existing state-based systems. As a result, the survey data for these professions excludes these jurisdictions as there were very few surveys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allied health practitioner workforce. Not all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3"/>
              </w:numPr>
            </w:pPr>
            <w:r>
              <w:rPr>
                <w:rStyle w:val="row-content-rich-text"/>
              </w:rPr>
              <w:t xml:space="preserve">survey non-response—occurs because not all registered practitioners who receive a questionnaire respond.</w:t>
            </w:r>
          </w:p>
          <w:p>
            <w:pPr>
              <w:spacing w:after="160"/>
            </w:pPr>
            <w:r>
              <w:rPr>
                <w:rStyle w:val="row-content-rich-text"/>
              </w:rPr>
              <w:t xml:space="preserve">A separate estimation procedure is used for each. Imputation is used to account for item non-response, and weighting for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p>
          <w:p>
            <w:pPr>
              <w:spacing w:after="160"/>
            </w:pPr>
            <w:r>
              <w:rPr>
                <w:rStyle w:val="row-content-rich-text"/>
                <w:b/>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practitioners in each profession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surveys of allied health practitioners, all renewing registrants were sent a workforce survey questionnaire when registration renewal was due. Therefore, technically, it was a census of practitioners. However, because not all renewing registrants in scope respond to the survey, there is a very large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practitioners in each state and territory (based on the location of principal practice), by broad registration type (‘specialist’ (including people with both a general and a specialist registration), ‘provisional’, ‘non-practising’ and ‘other’ (including general and limited registrations)), by age group and by sex within the registration data. For psychologists weighting included an identification of persons with an endorsement of ‘clinical psychology’, ‘clinical neuropsychology’ and ‘other’ (all other psychologists). Because of the low numbers of Aboriginal and Torres Strait Islander health practitioners and the low survey response rate, the state and territory of principal practice was used for weighting was Northern Territory and the remainder. Producing estimates for the profession by weighting the data from respondents adjusts for bias in the responding group of practitioners,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allied health practitioners 2012, that is all variables other than state and territory of principal practice, broad registration category,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spacing w:after="160"/>
            </w:pPr>
            <w:r>
              <w:rPr>
                <w:rStyle w:val="row-content-rich-text"/>
                <w:b/>
              </w:rPr>
              <w:t xml:space="preserve">Survey responses</w:t>
            </w:r>
          </w:p>
          <w:p>
            <w:pPr>
              <w:spacing w:after="160"/>
            </w:pPr>
            <w:r>
              <w:rPr>
                <w:rStyle w:val="row-content-rich-text"/>
              </w:rPr>
              <w:t xml:space="preserve">The response rates for each of the profession surveys are listed in Table 1.</w:t>
            </w:r>
          </w:p>
          <w:p>
            <w:pPr>
              <w:spacing w:after="160"/>
            </w:pPr>
            <w:r>
              <w:rPr>
                <w:rStyle w:val="row-content-rich-text"/>
              </w:rPr>
              <w:t xml:space="preserve"> </w:t>
            </w:r>
          </w:p>
          <w:p>
            <w:pPr>
              <w:spacing w:after="160"/>
            </w:pPr>
            <w:r>
              <w:rPr>
                <w:rStyle w:val="row-content-rich-text"/>
                <w:b/>
              </w:rPr>
              <w:t xml:space="preserve">Table 1: Survey response rates, states and territories, 2011 and 2012</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gridCol/>
              <w:gridCol/>
              <w:gridCol/>
              <w:gridCol/>
              <w:gridCol/>
              <w:gridCol/>
            </w:tblGrid>
            <w:tr>
              <w:trPr/>
              <w:tc>
                <w:tcPr>
                  <w:tcW w:w="1250" w:type="pct"/>
                  <w:gridSpan w:val="2"/>
                  <w:vAlign w:val="top"/>
                </w:tcPr>
                <w:p>
                  <w:pPr/>
                  <w:r>
                    <w:rPr>
                      <w:rStyle w:val="row-content-rich-text"/>
                      <w:b/>
                    </w:rPr>
                    <w:t xml:space="preserve">Practitioner type/Year</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p>
              </w:tc>
            </w:tr>
            <w:tr>
              <w:trPr/>
              <w:tc>
                <w:tcPr>
                  <w:tcW w:w="1250" w:type="pct"/>
                  <w:vMerge w:val="restart"/>
                  <w:vAlign w:val="top"/>
                </w:tcPr>
                <w:p>
                  <w:r>
                    <w:t xml:space="preserve">Psychologist</w:t>
                  </w:r>
                </w:p>
              </w:tc>
              <w:tc>
                <w:tcPr>
                  <w:tcW w:w="350" w:type="pct"/>
                  <w:vAlign w:val="top"/>
                </w:tcPr>
                <w:p>
                  <w:r>
                    <w:t xml:space="preserve">2011</w:t>
                  </w:r>
                </w:p>
              </w:tc>
              <w:tc>
                <w:tcPr>
                  <w:tcW w:w="350" w:type="pct"/>
                  <w:vAlign w:val="top"/>
                </w:tcPr>
                <w:p>
                  <w:r>
                    <w:t xml:space="preserve">86.2</w:t>
                  </w:r>
                </w:p>
              </w:tc>
              <w:tc>
                <w:tcPr>
                  <w:tcW w:w="350" w:type="pct"/>
                  <w:vAlign w:val="top"/>
                </w:tcPr>
                <w:p>
                  <w:r>
                    <w:t xml:space="preserve">82.6</w:t>
                  </w:r>
                </w:p>
              </w:tc>
              <w:tc>
                <w:tcPr>
                  <w:tcW w:w="350" w:type="pct"/>
                  <w:vAlign w:val="top"/>
                </w:tcPr>
                <w:p>
                  <w:r>
                    <w:t xml:space="preserve">83.8</w:t>
                  </w:r>
                </w:p>
              </w:tc>
              <w:tc>
                <w:tcPr>
                  <w:tcW w:w="350" w:type="pct"/>
                  <w:vAlign w:val="top"/>
                </w:tcPr>
                <w:p>
                  <w:r>
                    <w:t xml:space="preserve">85.7</w:t>
                  </w:r>
                </w:p>
              </w:tc>
              <w:tc>
                <w:tcPr>
                  <w:tcW w:w="350" w:type="pct"/>
                  <w:vAlign w:val="top"/>
                </w:tcPr>
                <w:p>
                  <w:r>
                    <w:t xml:space="preserve">85.3</w:t>
                  </w:r>
                </w:p>
              </w:tc>
              <w:tc>
                <w:tcPr>
                  <w:tcW w:w="350" w:type="pct"/>
                  <w:vAlign w:val="top"/>
                </w:tcPr>
                <w:p>
                  <w:r>
                    <w:t xml:space="preserve">85.5</w:t>
                  </w:r>
                </w:p>
              </w:tc>
              <w:tc>
                <w:tcPr>
                  <w:tcW w:w="350" w:type="pct"/>
                  <w:vAlign w:val="top"/>
                </w:tcPr>
                <w:p>
                  <w:r>
                    <w:t xml:space="preserve">87.3</w:t>
                  </w:r>
                </w:p>
              </w:tc>
              <w:tc>
                <w:tcPr>
                  <w:tcW w:w="400" w:type="pct"/>
                  <w:vAlign w:val="top"/>
                </w:tcPr>
                <w:p>
                  <w:r>
                    <w:t xml:space="preserve">81.8</w:t>
                  </w:r>
                </w:p>
              </w:tc>
              <w:tc>
                <w:tcPr>
                  <w:tcW w:w="350" w:type="pct"/>
                  <w:vAlign w:val="top"/>
                </w:tcPr>
                <w:p>
                  <w:r>
                    <w:t xml:space="preserve">84.7</w:t>
                  </w:r>
                </w:p>
              </w:tc>
            </w:tr>
            <w:tr>
              <w:trPr/>
              <w:tc>
                <w:tcPr>
                  <w:tcW w:w="1250" w:type="pct"/>
                  <w:vMerge/>
                </w:tcPr>
                <w:p/>
              </w:tc>
              <w:tc>
                <w:tcPr>
                  <w:tcW w:w="350" w:type="pct"/>
                  <w:vAlign w:val="top"/>
                </w:tcPr>
                <w:p>
                  <w:r>
                    <w:t xml:space="preserve">2012</w:t>
                  </w:r>
                </w:p>
              </w:tc>
              <w:tc>
                <w:tcPr>
                  <w:tcW w:w="350" w:type="pct"/>
                  <w:vAlign w:val="top"/>
                </w:tcPr>
                <w:p>
                  <w:r>
                    <w:t xml:space="preserve">88.0</w:t>
                  </w:r>
                </w:p>
              </w:tc>
              <w:tc>
                <w:tcPr>
                  <w:tcW w:w="350" w:type="pct"/>
                  <w:vAlign w:val="top"/>
                </w:tcPr>
                <w:p>
                  <w:r>
                    <w:t xml:space="preserve">82.0</w:t>
                  </w:r>
                </w:p>
              </w:tc>
              <w:tc>
                <w:tcPr>
                  <w:tcW w:w="350" w:type="pct"/>
                  <w:vAlign w:val="top"/>
                </w:tcPr>
                <w:p>
                  <w:r>
                    <w:t xml:space="preserve">84.1</w:t>
                  </w:r>
                </w:p>
              </w:tc>
              <w:tc>
                <w:tcPr>
                  <w:tcW w:w="350" w:type="pct"/>
                  <w:vAlign w:val="top"/>
                </w:tcPr>
                <w:p>
                  <w:r>
                    <w:t xml:space="preserve">83.2</w:t>
                  </w:r>
                </w:p>
              </w:tc>
              <w:tc>
                <w:tcPr>
                  <w:tcW w:w="350" w:type="pct"/>
                  <w:vAlign w:val="top"/>
                </w:tcPr>
                <w:p>
                  <w:r>
                    <w:t xml:space="preserve">85.1</w:t>
                  </w:r>
                </w:p>
              </w:tc>
              <w:tc>
                <w:tcPr>
                  <w:tcW w:w="350" w:type="pct"/>
                  <w:vAlign w:val="top"/>
                </w:tcPr>
                <w:p>
                  <w:r>
                    <w:t xml:space="preserve">83.7</w:t>
                  </w:r>
                </w:p>
              </w:tc>
              <w:tc>
                <w:tcPr>
                  <w:tcW w:w="350" w:type="pct"/>
                  <w:vAlign w:val="top"/>
                </w:tcPr>
                <w:p>
                  <w:r>
                    <w:t xml:space="preserve">83.2</w:t>
                  </w:r>
                </w:p>
              </w:tc>
              <w:tc>
                <w:tcPr>
                  <w:tcW w:w="400" w:type="pct"/>
                  <w:vAlign w:val="top"/>
                </w:tcPr>
                <w:p>
                  <w:r>
                    <w:t xml:space="preserve">84.9</w:t>
                  </w:r>
                </w:p>
              </w:tc>
              <w:tc>
                <w:tcPr>
                  <w:tcW w:w="350" w:type="pct"/>
                  <w:vAlign w:val="top"/>
                </w:tcPr>
                <w:p>
                  <w:r>
                    <w:t xml:space="preserve">84.8</w:t>
                  </w:r>
                </w:p>
              </w:tc>
            </w:tr>
            <w:tr>
              <w:trPr/>
              <w:tc>
                <w:tcPr>
                  <w:tcW w:w="1250" w:type="pct"/>
                  <w:vMerge w:val="restart"/>
                  <w:vAlign w:val="top"/>
                </w:tcPr>
                <w:p>
                  <w:r>
                    <w:t xml:space="preserve">Pharmacist</w:t>
                  </w:r>
                </w:p>
              </w:tc>
              <w:tc>
                <w:tcPr>
                  <w:tcW w:w="350" w:type="pct"/>
                  <w:vAlign w:val="top"/>
                </w:tcPr>
                <w:p>
                  <w:r>
                    <w:t xml:space="preserve">2011</w:t>
                  </w:r>
                </w:p>
              </w:tc>
              <w:tc>
                <w:tcPr>
                  <w:tcW w:w="350" w:type="pct"/>
                  <w:vAlign w:val="top"/>
                </w:tcPr>
                <w:p>
                  <w:r>
                    <w:t xml:space="preserve">76.6</w:t>
                  </w:r>
                </w:p>
              </w:tc>
              <w:tc>
                <w:tcPr>
                  <w:tcW w:w="350" w:type="pct"/>
                  <w:vAlign w:val="top"/>
                </w:tcPr>
                <w:p>
                  <w:r>
                    <w:t xml:space="preserve">76.8</w:t>
                  </w:r>
                </w:p>
              </w:tc>
              <w:tc>
                <w:tcPr>
                  <w:tcW w:w="350" w:type="pct"/>
                  <w:vAlign w:val="top"/>
                </w:tcPr>
                <w:p>
                  <w:r>
                    <w:t xml:space="preserve">79.6</w:t>
                  </w:r>
                </w:p>
              </w:tc>
              <w:tc>
                <w:tcPr>
                  <w:tcW w:w="350" w:type="pct"/>
                  <w:vAlign w:val="top"/>
                </w:tcPr>
                <w:p>
                  <w:r>
                    <w:t xml:space="preserve">71.9</w:t>
                  </w:r>
                </w:p>
              </w:tc>
              <w:tc>
                <w:tcPr>
                  <w:tcW w:w="350" w:type="pct"/>
                  <w:vAlign w:val="top"/>
                </w:tcPr>
                <w:p>
                  <w:r>
                    <w:t xml:space="preserve">74.8</w:t>
                  </w:r>
                </w:p>
              </w:tc>
              <w:tc>
                <w:tcPr>
                  <w:tcW w:w="350" w:type="pct"/>
                  <w:vAlign w:val="top"/>
                </w:tcPr>
                <w:p>
                  <w:r>
                    <w:t xml:space="preserve">80.3</w:t>
                  </w:r>
                </w:p>
              </w:tc>
              <w:tc>
                <w:tcPr>
                  <w:tcW w:w="350" w:type="pct"/>
                  <w:vAlign w:val="top"/>
                </w:tcPr>
                <w:p>
                  <w:r>
                    <w:t xml:space="preserve">84.2</w:t>
                  </w:r>
                </w:p>
              </w:tc>
              <w:tc>
                <w:tcPr>
                  <w:tcW w:w="400" w:type="pct"/>
                  <w:vAlign w:val="top"/>
                </w:tcPr>
                <w:p>
                  <w:r>
                    <w:t xml:space="preserve">81.0</w:t>
                  </w:r>
                </w:p>
              </w:tc>
              <w:tc>
                <w:tcPr>
                  <w:tcW w:w="350" w:type="pct"/>
                  <w:vAlign w:val="top"/>
                </w:tcPr>
                <w:p>
                  <w:r>
                    <w:t xml:space="preserve">77.1</w:t>
                  </w:r>
                </w:p>
              </w:tc>
            </w:tr>
            <w:tr>
              <w:trPr/>
              <w:tc>
                <w:tcPr>
                  <w:tcW w:w="1250" w:type="pct"/>
                  <w:vMerge/>
                </w:tcPr>
                <w:p/>
              </w:tc>
              <w:tc>
                <w:tcPr>
                  <w:tcW w:w="350" w:type="pct"/>
                  <w:vAlign w:val="top"/>
                </w:tcPr>
                <w:p>
                  <w:r>
                    <w:t xml:space="preserve">2012</w:t>
                  </w:r>
                </w:p>
              </w:tc>
              <w:tc>
                <w:tcPr>
                  <w:tcW w:w="350" w:type="pct"/>
                  <w:vAlign w:val="top"/>
                </w:tcPr>
                <w:p>
                  <w:r>
                    <w:t xml:space="preserve">87.7</w:t>
                  </w:r>
                </w:p>
              </w:tc>
              <w:tc>
                <w:tcPr>
                  <w:tcW w:w="350" w:type="pct"/>
                  <w:vAlign w:val="top"/>
                </w:tcPr>
                <w:p>
                  <w:r>
                    <w:t xml:space="preserve">87.6</w:t>
                  </w:r>
                </w:p>
              </w:tc>
              <w:tc>
                <w:tcPr>
                  <w:tcW w:w="350" w:type="pct"/>
                  <w:vAlign w:val="top"/>
                </w:tcPr>
                <w:p>
                  <w:r>
                    <w:t xml:space="preserve">84.5</w:t>
                  </w:r>
                </w:p>
              </w:tc>
              <w:tc>
                <w:tcPr>
                  <w:tcW w:w="350" w:type="pct"/>
                  <w:vAlign w:val="top"/>
                </w:tcPr>
                <w:p>
                  <w:r>
                    <w:t xml:space="preserve">87.1</w:t>
                  </w:r>
                </w:p>
              </w:tc>
              <w:tc>
                <w:tcPr>
                  <w:tcW w:w="350" w:type="pct"/>
                  <w:vAlign w:val="top"/>
                </w:tcPr>
                <w:p>
                  <w:r>
                    <w:t xml:space="preserve">85.5</w:t>
                  </w:r>
                </w:p>
              </w:tc>
              <w:tc>
                <w:tcPr>
                  <w:tcW w:w="350" w:type="pct"/>
                  <w:vAlign w:val="top"/>
                </w:tcPr>
                <w:p>
                  <w:r>
                    <w:t xml:space="preserve">86.3</w:t>
                  </w:r>
                </w:p>
              </w:tc>
              <w:tc>
                <w:tcPr>
                  <w:tcW w:w="350" w:type="pct"/>
                  <w:vAlign w:val="top"/>
                </w:tcPr>
                <w:p>
                  <w:r>
                    <w:t xml:space="preserve">87.9</w:t>
                  </w:r>
                </w:p>
              </w:tc>
              <w:tc>
                <w:tcPr>
                  <w:tcW w:w="400" w:type="pct"/>
                  <w:vAlign w:val="top"/>
                </w:tcPr>
                <w:p>
                  <w:r>
                    <w:t xml:space="preserve">79.4</w:t>
                  </w:r>
                </w:p>
              </w:tc>
              <w:tc>
                <w:tcPr>
                  <w:tcW w:w="350" w:type="pct"/>
                  <w:vAlign w:val="top"/>
                </w:tcPr>
                <w:p>
                  <w:r>
                    <w:t xml:space="preserve">86.8</w:t>
                  </w:r>
                </w:p>
              </w:tc>
            </w:tr>
            <w:tr>
              <w:trPr/>
              <w:tc>
                <w:tcPr>
                  <w:tcW w:w="1250" w:type="pct"/>
                  <w:vMerge w:val="restart"/>
                  <w:vAlign w:val="top"/>
                </w:tcPr>
                <w:p>
                  <w:r>
                    <w:t xml:space="preserve">Physiotherapist</w:t>
                  </w:r>
                </w:p>
              </w:tc>
              <w:tc>
                <w:tcPr>
                  <w:tcW w:w="350" w:type="pct"/>
                  <w:vAlign w:val="top"/>
                </w:tcPr>
                <w:p>
                  <w:r>
                    <w:t xml:space="preserve">2011</w:t>
                  </w:r>
                </w:p>
              </w:tc>
              <w:tc>
                <w:tcPr>
                  <w:tcW w:w="350" w:type="pct"/>
                  <w:vAlign w:val="top"/>
                </w:tcPr>
                <w:p>
                  <w:r>
                    <w:t xml:space="preserve">91.5</w:t>
                  </w:r>
                </w:p>
              </w:tc>
              <w:tc>
                <w:tcPr>
                  <w:tcW w:w="350" w:type="pct"/>
                  <w:vAlign w:val="top"/>
                </w:tcPr>
                <w:p>
                  <w:r>
                    <w:t xml:space="preserve">88.8</w:t>
                  </w:r>
                </w:p>
              </w:tc>
              <w:tc>
                <w:tcPr>
                  <w:tcW w:w="350" w:type="pct"/>
                  <w:vAlign w:val="top"/>
                </w:tcPr>
                <w:p>
                  <w:r>
                    <w:t xml:space="preserve">90.6</w:t>
                  </w:r>
                </w:p>
              </w:tc>
              <w:tc>
                <w:tcPr>
                  <w:tcW w:w="350" w:type="pct"/>
                  <w:vAlign w:val="top"/>
                </w:tcPr>
                <w:p>
                  <w:r>
                    <w:t xml:space="preserve">90.7</w:t>
                  </w:r>
                </w:p>
              </w:tc>
              <w:tc>
                <w:tcPr>
                  <w:tcW w:w="350" w:type="pct"/>
                  <w:vAlign w:val="top"/>
                </w:tcPr>
                <w:p>
                  <w:r>
                    <w:t xml:space="preserve">90.9</w:t>
                  </w:r>
                </w:p>
              </w:tc>
              <w:tc>
                <w:tcPr>
                  <w:tcW w:w="350" w:type="pct"/>
                  <w:vAlign w:val="top"/>
                </w:tcPr>
                <w:p>
                  <w:r>
                    <w:t xml:space="preserve">95.1</w:t>
                  </w:r>
                </w:p>
              </w:tc>
              <w:tc>
                <w:tcPr>
                  <w:tcW w:w="350" w:type="pct"/>
                  <w:vAlign w:val="top"/>
                </w:tcPr>
                <w:p>
                  <w:r>
                    <w:t xml:space="preserve">90.0</w:t>
                  </w:r>
                </w:p>
              </w:tc>
              <w:tc>
                <w:tcPr>
                  <w:tcW w:w="400" w:type="pct"/>
                  <w:vAlign w:val="top"/>
                </w:tcPr>
                <w:p>
                  <w:r>
                    <w:t xml:space="preserve">92.5</w:t>
                  </w:r>
                </w:p>
              </w:tc>
              <w:tc>
                <w:tcPr>
                  <w:tcW w:w="350" w:type="pct"/>
                  <w:vAlign w:val="top"/>
                </w:tcPr>
                <w:p>
                  <w:r>
                    <w:t xml:space="preserve">90.7</w:t>
                  </w:r>
                </w:p>
              </w:tc>
            </w:tr>
            <w:tr>
              <w:trPr/>
              <w:tc>
                <w:tcPr>
                  <w:tcW w:w="1250" w:type="pct"/>
                  <w:vMerge/>
                </w:tcPr>
                <w:p/>
              </w:tc>
              <w:tc>
                <w:tcPr>
                  <w:tcW w:w="350" w:type="pct"/>
                  <w:vAlign w:val="top"/>
                </w:tcPr>
                <w:p>
                  <w:r>
                    <w:t xml:space="preserve">2012</w:t>
                  </w:r>
                </w:p>
              </w:tc>
              <w:tc>
                <w:tcPr>
                  <w:tcW w:w="350" w:type="pct"/>
                  <w:vAlign w:val="top"/>
                </w:tcPr>
                <w:p>
                  <w:r>
                    <w:t xml:space="preserve">95.2</w:t>
                  </w:r>
                </w:p>
              </w:tc>
              <w:tc>
                <w:tcPr>
                  <w:tcW w:w="350" w:type="pct"/>
                  <w:vAlign w:val="top"/>
                </w:tcPr>
                <w:p>
                  <w:r>
                    <w:t xml:space="preserve">90.9</w:t>
                  </w:r>
                </w:p>
              </w:tc>
              <w:tc>
                <w:tcPr>
                  <w:tcW w:w="350" w:type="pct"/>
                  <w:vAlign w:val="top"/>
                </w:tcPr>
                <w:p>
                  <w:r>
                    <w:t xml:space="preserve">91.2</w:t>
                  </w:r>
                </w:p>
              </w:tc>
              <w:tc>
                <w:tcPr>
                  <w:tcW w:w="350" w:type="pct"/>
                  <w:vAlign w:val="top"/>
                </w:tcPr>
                <w:p>
                  <w:r>
                    <w:t xml:space="preserve">88.6</w:t>
                  </w:r>
                </w:p>
              </w:tc>
              <w:tc>
                <w:tcPr>
                  <w:tcW w:w="350" w:type="pct"/>
                  <w:vAlign w:val="top"/>
                </w:tcPr>
                <w:p>
                  <w:r>
                    <w:t xml:space="preserve">90.4</w:t>
                  </w:r>
                </w:p>
              </w:tc>
              <w:tc>
                <w:tcPr>
                  <w:tcW w:w="350" w:type="pct"/>
                  <w:vAlign w:val="top"/>
                </w:tcPr>
                <w:p>
                  <w:r>
                    <w:t xml:space="preserve">92.6</w:t>
                  </w:r>
                </w:p>
              </w:tc>
              <w:tc>
                <w:tcPr>
                  <w:tcW w:w="350" w:type="pct"/>
                  <w:vAlign w:val="top"/>
                </w:tcPr>
                <w:p>
                  <w:r>
                    <w:t xml:space="preserve">93.4</w:t>
                  </w:r>
                </w:p>
              </w:tc>
              <w:tc>
                <w:tcPr>
                  <w:tcW w:w="400" w:type="pct"/>
                  <w:vAlign w:val="top"/>
                </w:tcPr>
                <w:p>
                  <w:r>
                    <w:t xml:space="preserve">95.3</w:t>
                  </w:r>
                </w:p>
              </w:tc>
              <w:tc>
                <w:tcPr>
                  <w:tcW w:w="350" w:type="pct"/>
                  <w:vAlign w:val="top"/>
                </w:tcPr>
                <w:p>
                  <w:r>
                    <w:t xml:space="preserve">92.0</w:t>
                  </w:r>
                </w:p>
              </w:tc>
            </w:tr>
            <w:tr>
              <w:trPr/>
              <w:tc>
                <w:tcPr>
                  <w:tcW w:w="1250" w:type="pct"/>
                  <w:vAlign w:val="top"/>
                </w:tcPr>
                <w:p>
                  <w:r>
                    <w:t xml:space="preserve">Occupational therapist</w:t>
                  </w:r>
                  <w:r>
                    <w:rPr>
                      <w:vertAlign w:val="superscript"/>
                    </w:rPr>
                    <w:t xml:space="preserve">(a)</w:t>
                  </w:r>
                </w:p>
              </w:tc>
              <w:tc>
                <w:tcPr>
                  <w:tcW w:w="350" w:type="pct"/>
                  <w:vAlign w:val="top"/>
                </w:tcPr>
                <w:p>
                  <w:r>
                    <w:t xml:space="preserve">2012</w:t>
                  </w:r>
                </w:p>
              </w:tc>
              <w:tc>
                <w:tcPr>
                  <w:tcW w:w="350" w:type="pct"/>
                  <w:vAlign w:val="top"/>
                </w:tcPr>
                <w:p>
                  <w:r>
                    <w:t xml:space="preserve">83.7</w:t>
                  </w:r>
                </w:p>
              </w:tc>
              <w:tc>
                <w:tcPr>
                  <w:tcW w:w="350" w:type="pct"/>
                  <w:vAlign w:val="top"/>
                </w:tcPr>
                <w:p>
                  <w:r>
                    <w:t xml:space="preserve">81.9</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77.2</w:t>
                  </w:r>
                </w:p>
              </w:tc>
              <w:tc>
                <w:tcPr>
                  <w:tcW w:w="350" w:type="pct"/>
                  <w:vAlign w:val="top"/>
                </w:tcPr>
                <w:p>
                  <w:r>
                    <w:t xml:space="preserve">81.9</w:t>
                  </w:r>
                </w:p>
              </w:tc>
              <w:tc>
                <w:tcPr>
                  <w:tcW w:w="400" w:type="pct"/>
                  <w:vAlign w:val="top"/>
                </w:tcPr>
                <w:p>
                  <w:r>
                    <w:t xml:space="preserve">91.9</w:t>
                  </w:r>
                </w:p>
              </w:tc>
              <w:tc>
                <w:tcPr>
                  <w:tcW w:w="350" w:type="pct"/>
                  <w:vAlign w:val="top"/>
                </w:tcPr>
                <w:p>
                  <w:r>
                    <w:t xml:space="preserve">82.8</w:t>
                  </w:r>
                </w:p>
              </w:tc>
            </w:tr>
            <w:tr>
              <w:trPr/>
              <w:tc>
                <w:tcPr>
                  <w:tcW w:w="1250" w:type="pct"/>
                  <w:vAlign w:val="top"/>
                </w:tcPr>
                <w:p>
                  <w:r>
                    <w:t xml:space="preserve">Medical radiation practitioner</w:t>
                  </w:r>
                  <w:r>
                    <w:rPr>
                      <w:vertAlign w:val="superscript"/>
                    </w:rPr>
                    <w:t xml:space="preserve">(a)</w:t>
                  </w:r>
                </w:p>
              </w:tc>
              <w:tc>
                <w:tcPr>
                  <w:tcW w:w="350" w:type="pct"/>
                  <w:vAlign w:val="top"/>
                </w:tcPr>
                <w:p>
                  <w:r>
                    <w:t xml:space="preserve">2012</w:t>
                  </w:r>
                </w:p>
              </w:tc>
              <w:tc>
                <w:tcPr>
                  <w:tcW w:w="350" w:type="pct"/>
                  <w:vAlign w:val="top"/>
                </w:tcPr>
                <w:p>
                  <w:r>
                    <w:t xml:space="preserve">87.5</w:t>
                  </w:r>
                </w:p>
              </w:tc>
              <w:tc>
                <w:tcPr>
                  <w:tcW w:w="350" w:type="pct"/>
                  <w:vAlign w:val="top"/>
                </w:tcPr>
                <w:p>
                  <w:r>
                    <w:t xml:space="preserve">90.7</w:t>
                  </w:r>
                </w:p>
              </w:tc>
              <w:tc>
                <w:tcPr>
                  <w:tcW w:w="350" w:type="pct"/>
                  <w:vAlign w:val="top"/>
                </w:tcPr>
                <w:p>
                  <w:r>
                    <w:t xml:space="preserve">. .</w:t>
                  </w:r>
                </w:p>
              </w:tc>
              <w:tc>
                <w:tcPr>
                  <w:tcW w:w="350" w:type="pct"/>
                  <w:vAlign w:val="top"/>
                </w:tcPr>
                <w:p>
                  <w:r>
                    <w:t xml:space="preserve">. .</w:t>
                  </w:r>
                </w:p>
              </w:tc>
              <w:tc>
                <w:tcPr>
                  <w:tcW w:w="350" w:type="pct"/>
                  <w:vAlign w:val="top"/>
                </w:tcPr>
                <w:p>
                  <w:r>
                    <w:t xml:space="preserve">85.0</w:t>
                  </w:r>
                </w:p>
              </w:tc>
              <w:tc>
                <w:tcPr>
                  <w:tcW w:w="350" w:type="pct"/>
                  <w:vAlign w:val="top"/>
                </w:tcPr>
                <w:p>
                  <w:r>
                    <w:t xml:space="preserve">. .</w:t>
                  </w:r>
                </w:p>
              </w:tc>
              <w:tc>
                <w:tcPr>
                  <w:tcW w:w="350" w:type="pct"/>
                  <w:vAlign w:val="top"/>
                </w:tcPr>
                <w:p>
                  <w:r>
                    <w:t xml:space="preserve">86.9</w:t>
                  </w:r>
                </w:p>
              </w:tc>
              <w:tc>
                <w:tcPr>
                  <w:tcW w:w="400" w:type="pct"/>
                  <w:vAlign w:val="top"/>
                </w:tcPr>
                <w:p>
                  <w:r>
                    <w:t xml:space="preserve">92.8</w:t>
                  </w:r>
                </w:p>
              </w:tc>
              <w:tc>
                <w:tcPr>
                  <w:tcW w:w="350" w:type="pct"/>
                  <w:vAlign w:val="top"/>
                </w:tcPr>
                <w:p>
                  <w:r>
                    <w:t xml:space="preserve">88.5</w:t>
                  </w:r>
                </w:p>
              </w:tc>
            </w:tr>
            <w:tr>
              <w:trPr/>
              <w:tc>
                <w:tcPr>
                  <w:tcW w:w="1250" w:type="pct"/>
                  <w:vMerge w:val="restart"/>
                  <w:vAlign w:val="top"/>
                </w:tcPr>
                <w:p>
                  <w:r>
                    <w:t xml:space="preserve">Optometrist</w:t>
                  </w:r>
                </w:p>
              </w:tc>
              <w:tc>
                <w:tcPr>
                  <w:tcW w:w="350" w:type="pct"/>
                  <w:vAlign w:val="top"/>
                </w:tcPr>
                <w:p>
                  <w:r>
                    <w:t xml:space="preserve">2011</w:t>
                  </w:r>
                </w:p>
              </w:tc>
              <w:tc>
                <w:tcPr>
                  <w:tcW w:w="350" w:type="pct"/>
                  <w:vAlign w:val="top"/>
                </w:tcPr>
                <w:p>
                  <w:r>
                    <w:t xml:space="preserve">93.2</w:t>
                  </w:r>
                </w:p>
              </w:tc>
              <w:tc>
                <w:tcPr>
                  <w:tcW w:w="350" w:type="pct"/>
                  <w:vAlign w:val="top"/>
                </w:tcPr>
                <w:p>
                  <w:r>
                    <w:t xml:space="preserve">89.9</w:t>
                  </w:r>
                </w:p>
              </w:tc>
              <w:tc>
                <w:tcPr>
                  <w:tcW w:w="350" w:type="pct"/>
                  <w:vAlign w:val="top"/>
                </w:tcPr>
                <w:p>
                  <w:r>
                    <w:t xml:space="preserve">93.3</w:t>
                  </w:r>
                </w:p>
              </w:tc>
              <w:tc>
                <w:tcPr>
                  <w:tcW w:w="350" w:type="pct"/>
                  <w:vAlign w:val="top"/>
                </w:tcPr>
                <w:p>
                  <w:r>
                    <w:t xml:space="preserve">93.3</w:t>
                  </w:r>
                </w:p>
              </w:tc>
              <w:tc>
                <w:tcPr>
                  <w:tcW w:w="350" w:type="pct"/>
                  <w:vAlign w:val="top"/>
                </w:tcPr>
                <w:p>
                  <w:r>
                    <w:t xml:space="preserve">92.4</w:t>
                  </w:r>
                </w:p>
              </w:tc>
              <w:tc>
                <w:tcPr>
                  <w:tcW w:w="350" w:type="pct"/>
                  <w:vAlign w:val="top"/>
                </w:tcPr>
                <w:p>
                  <w:r>
                    <w:t xml:space="preserve">95.2</w:t>
                  </w:r>
                </w:p>
              </w:tc>
              <w:tc>
                <w:tcPr>
                  <w:tcW w:w="350" w:type="pct"/>
                  <w:vAlign w:val="top"/>
                </w:tcPr>
                <w:p>
                  <w:r>
                    <w:t xml:space="preserve">88.6</w:t>
                  </w:r>
                </w:p>
              </w:tc>
              <w:tc>
                <w:tcPr>
                  <w:tcW w:w="400" w:type="pct"/>
                  <w:vAlign w:val="top"/>
                </w:tcPr>
                <w:p>
                  <w:r>
                    <w:t xml:space="preserve">96.2</w:t>
                  </w:r>
                </w:p>
              </w:tc>
              <w:tc>
                <w:tcPr>
                  <w:tcW w:w="350" w:type="pct"/>
                  <w:vAlign w:val="top"/>
                </w:tcPr>
                <w:p>
                  <w:r>
                    <w:t xml:space="preserve">92.4</w:t>
                  </w:r>
                </w:p>
              </w:tc>
            </w:tr>
            <w:tr>
              <w:trPr/>
              <w:tc>
                <w:tcPr>
                  <w:tcW w:w="1250" w:type="pct"/>
                  <w:vMerge/>
                </w:tcPr>
                <w:p/>
              </w:tc>
              <w:tc>
                <w:tcPr>
                  <w:tcW w:w="350" w:type="pct"/>
                  <w:vAlign w:val="top"/>
                </w:tcPr>
                <w:p>
                  <w:r>
                    <w:t xml:space="preserve">2012</w:t>
                  </w:r>
                </w:p>
              </w:tc>
              <w:tc>
                <w:tcPr>
                  <w:tcW w:w="350" w:type="pct"/>
                  <w:vAlign w:val="top"/>
                </w:tcPr>
                <w:p>
                  <w:r>
                    <w:t xml:space="preserve">94.9</w:t>
                  </w:r>
                </w:p>
              </w:tc>
              <w:tc>
                <w:tcPr>
                  <w:tcW w:w="350" w:type="pct"/>
                  <w:vAlign w:val="top"/>
                </w:tcPr>
                <w:p>
                  <w:r>
                    <w:t xml:space="preserve">94.1</w:t>
                  </w:r>
                </w:p>
              </w:tc>
              <w:tc>
                <w:tcPr>
                  <w:tcW w:w="350" w:type="pct"/>
                  <w:vAlign w:val="top"/>
                </w:tcPr>
                <w:p>
                  <w:r>
                    <w:t xml:space="preserve">95.9</w:t>
                  </w:r>
                </w:p>
              </w:tc>
              <w:tc>
                <w:tcPr>
                  <w:tcW w:w="350" w:type="pct"/>
                  <w:vAlign w:val="top"/>
                </w:tcPr>
                <w:p>
                  <w:r>
                    <w:t xml:space="preserve">94.1</w:t>
                  </w:r>
                </w:p>
              </w:tc>
              <w:tc>
                <w:tcPr>
                  <w:tcW w:w="350" w:type="pct"/>
                  <w:vAlign w:val="top"/>
                </w:tcPr>
                <w:p>
                  <w:r>
                    <w:t xml:space="preserve">95.4</w:t>
                  </w:r>
                </w:p>
              </w:tc>
              <w:tc>
                <w:tcPr>
                  <w:tcW w:w="350" w:type="pct"/>
                  <w:vAlign w:val="top"/>
                </w:tcPr>
                <w:p>
                  <w:r>
                    <w:t xml:space="preserve">95.2</w:t>
                  </w:r>
                </w:p>
              </w:tc>
              <w:tc>
                <w:tcPr>
                  <w:tcW w:w="350" w:type="pct"/>
                  <w:vAlign w:val="top"/>
                </w:tcPr>
                <w:p>
                  <w:r>
                    <w:t xml:space="preserve">94.6</w:t>
                  </w:r>
                </w:p>
              </w:tc>
              <w:tc>
                <w:tcPr>
                  <w:tcW w:w="400" w:type="pct"/>
                  <w:vAlign w:val="top"/>
                </w:tcPr>
                <w:p>
                  <w:r>
                    <w:t xml:space="preserve">93.3</w:t>
                  </w:r>
                </w:p>
              </w:tc>
              <w:tc>
                <w:tcPr>
                  <w:tcW w:w="350" w:type="pct"/>
                  <w:vAlign w:val="top"/>
                </w:tcPr>
                <w:p>
                  <w:r>
                    <w:t xml:space="preserve">94.9</w:t>
                  </w:r>
                </w:p>
              </w:tc>
            </w:tr>
            <w:tr>
              <w:trPr/>
              <w:tc>
                <w:tcPr>
                  <w:tcW w:w="1250" w:type="pct"/>
                  <w:vMerge w:val="restart"/>
                  <w:vAlign w:val="top"/>
                </w:tcPr>
                <w:p>
                  <w:r>
                    <w:t xml:space="preserve">Chiropractor</w:t>
                  </w:r>
                </w:p>
              </w:tc>
              <w:tc>
                <w:tcPr>
                  <w:tcW w:w="350" w:type="pct"/>
                  <w:vAlign w:val="top"/>
                </w:tcPr>
                <w:p>
                  <w:r>
                    <w:t xml:space="preserve">2011</w:t>
                  </w:r>
                </w:p>
              </w:tc>
              <w:tc>
                <w:tcPr>
                  <w:tcW w:w="350" w:type="pct"/>
                  <w:vAlign w:val="top"/>
                </w:tcPr>
                <w:p>
                  <w:r>
                    <w:t xml:space="preserve">90.1 </w:t>
                  </w:r>
                </w:p>
              </w:tc>
              <w:tc>
                <w:tcPr>
                  <w:tcW w:w="350" w:type="pct"/>
                  <w:vAlign w:val="top"/>
                </w:tcPr>
                <w:p>
                  <w:r>
                    <w:t xml:space="preserve">86.4</w:t>
                  </w:r>
                </w:p>
              </w:tc>
              <w:tc>
                <w:tcPr>
                  <w:tcW w:w="350" w:type="pct"/>
                  <w:vAlign w:val="top"/>
                </w:tcPr>
                <w:p>
                  <w:r>
                    <w:t xml:space="preserve">90.3</w:t>
                  </w:r>
                </w:p>
              </w:tc>
              <w:tc>
                <w:tcPr>
                  <w:tcW w:w="350" w:type="pct"/>
                  <w:vAlign w:val="top"/>
                </w:tcPr>
                <w:p>
                  <w:r>
                    <w:t xml:space="preserve">87.1</w:t>
                  </w:r>
                </w:p>
              </w:tc>
              <w:tc>
                <w:tcPr>
                  <w:tcW w:w="350" w:type="pct"/>
                  <w:vAlign w:val="top"/>
                </w:tcPr>
                <w:p>
                  <w:r>
                    <w:t xml:space="preserve">90.7</w:t>
                  </w:r>
                </w:p>
              </w:tc>
              <w:tc>
                <w:tcPr>
                  <w:tcW w:w="350" w:type="pct"/>
                  <w:vAlign w:val="top"/>
                </w:tcPr>
                <w:p>
                  <w:r>
                    <w:t xml:space="preserve">90.9</w:t>
                  </w:r>
                </w:p>
              </w:tc>
              <w:tc>
                <w:tcPr>
                  <w:tcW w:w="350" w:type="pct"/>
                  <w:vAlign w:val="top"/>
                </w:tcPr>
                <w:p>
                  <w:r>
                    <w:t xml:space="preserve">92.9</w:t>
                  </w:r>
                </w:p>
              </w:tc>
              <w:tc>
                <w:tcPr>
                  <w:tcW w:w="400" w:type="pct"/>
                  <w:vAlign w:val="top"/>
                </w:tcPr>
                <w:p>
                  <w:r>
                    <w:t xml:space="preserve">82.6</w:t>
                  </w:r>
                </w:p>
              </w:tc>
              <w:tc>
                <w:tcPr>
                  <w:tcW w:w="350" w:type="pct"/>
                  <w:vAlign w:val="top"/>
                </w:tcPr>
                <w:p>
                  <w:r>
                    <w:t xml:space="preserve">89.0</w:t>
                  </w:r>
                </w:p>
              </w:tc>
            </w:tr>
            <w:tr>
              <w:trPr/>
              <w:tc>
                <w:tcPr>
                  <w:tcW w:w="1250" w:type="pct"/>
                  <w:vMerge/>
                </w:tcPr>
                <w:p/>
              </w:tc>
              <w:tc>
                <w:tcPr>
                  <w:tcW w:w="350" w:type="pct"/>
                  <w:vAlign w:val="top"/>
                </w:tcPr>
                <w:p>
                  <w:r>
                    <w:t xml:space="preserve">2012</w:t>
                  </w:r>
                </w:p>
              </w:tc>
              <w:tc>
                <w:tcPr>
                  <w:tcW w:w="350" w:type="pct"/>
                  <w:vAlign w:val="top"/>
                </w:tcPr>
                <w:p>
                  <w:r>
                    <w:t xml:space="preserve">92.1</w:t>
                  </w:r>
                </w:p>
              </w:tc>
              <w:tc>
                <w:tcPr>
                  <w:tcW w:w="350" w:type="pct"/>
                  <w:vAlign w:val="top"/>
                </w:tcPr>
                <w:p>
                  <w:r>
                    <w:t xml:space="preserve">89.5</w:t>
                  </w:r>
                </w:p>
              </w:tc>
              <w:tc>
                <w:tcPr>
                  <w:tcW w:w="350" w:type="pct"/>
                  <w:vAlign w:val="top"/>
                </w:tcPr>
                <w:p>
                  <w:r>
                    <w:t xml:space="preserve">91.4</w:t>
                  </w:r>
                </w:p>
              </w:tc>
              <w:tc>
                <w:tcPr>
                  <w:tcW w:w="350" w:type="pct"/>
                  <w:vAlign w:val="top"/>
                </w:tcPr>
                <w:p>
                  <w:r>
                    <w:t xml:space="preserve">89.4</w:t>
                  </w:r>
                </w:p>
              </w:tc>
              <w:tc>
                <w:tcPr>
                  <w:tcW w:w="350" w:type="pct"/>
                  <w:vAlign w:val="top"/>
                </w:tcPr>
                <w:p>
                  <w:r>
                    <w:t xml:space="preserve">92.1</w:t>
                  </w:r>
                </w:p>
              </w:tc>
              <w:tc>
                <w:tcPr>
                  <w:tcW w:w="350" w:type="pct"/>
                  <w:vAlign w:val="top"/>
                </w:tcPr>
                <w:p>
                  <w:r>
                    <w:t xml:space="preserve">89.4</w:t>
                  </w:r>
                </w:p>
              </w:tc>
              <w:tc>
                <w:tcPr>
                  <w:tcW w:w="350" w:type="pct"/>
                  <w:vAlign w:val="top"/>
                </w:tcPr>
                <w:p>
                  <w:r>
                    <w:t xml:space="preserve">94.9</w:t>
                  </w:r>
                </w:p>
              </w:tc>
              <w:tc>
                <w:tcPr>
                  <w:tcW w:w="400" w:type="pct"/>
                  <w:vAlign w:val="top"/>
                </w:tcPr>
                <w:p>
                  <w:r>
                    <w:t xml:space="preserve">87.0</w:t>
                  </w:r>
                </w:p>
              </w:tc>
              <w:tc>
                <w:tcPr>
                  <w:tcW w:w="350" w:type="pct"/>
                  <w:vAlign w:val="top"/>
                </w:tcPr>
                <w:p>
                  <w:r>
                    <w:t xml:space="preserve">90.9</w:t>
                  </w:r>
                </w:p>
              </w:tc>
            </w:tr>
            <w:tr>
              <w:trPr/>
              <w:tc>
                <w:tcPr>
                  <w:tcW w:w="1250" w:type="pct"/>
                  <w:vAlign w:val="top"/>
                </w:tcPr>
                <w:p>
                  <w:r>
                    <w:t xml:space="preserve">Chinese medicine practitioner</w:t>
                  </w:r>
                  <w:r>
                    <w:rPr>
                      <w:vertAlign w:val="superscript"/>
                    </w:rPr>
                    <w:t xml:space="preserve">(a)</w:t>
                  </w:r>
                </w:p>
              </w:tc>
              <w:tc>
                <w:tcPr>
                  <w:tcW w:w="350" w:type="pct"/>
                  <w:vAlign w:val="top"/>
                </w:tcPr>
                <w:p>
                  <w:r>
                    <w:t xml:space="preserve">2012</w:t>
                  </w:r>
                </w:p>
              </w:tc>
              <w:tc>
                <w:tcPr>
                  <w:tcW w:w="350" w:type="pct"/>
                  <w:vAlign w:val="top"/>
                </w:tcPr>
                <w:p>
                  <w:r>
                    <w:t xml:space="preserve">80.6</w:t>
                  </w:r>
                </w:p>
              </w:tc>
              <w:tc>
                <w:tcPr>
                  <w:tcW w:w="350" w:type="pct"/>
                  <w:vAlign w:val="top"/>
                </w:tcPr>
                <w:p>
                  <w:r>
                    <w:t xml:space="preserve">87.0</w:t>
                  </w:r>
                </w:p>
              </w:tc>
              <w:tc>
                <w:tcPr>
                  <w:tcW w:w="350" w:type="pct"/>
                  <w:vAlign w:val="top"/>
                </w:tcPr>
                <w:p>
                  <w:r>
                    <w:t xml:space="preserve">81.3</w:t>
                  </w:r>
                </w:p>
              </w:tc>
              <w:tc>
                <w:tcPr>
                  <w:tcW w:w="350" w:type="pct"/>
                  <w:vAlign w:val="top"/>
                </w:tcPr>
                <w:p>
                  <w:r>
                    <w:t xml:space="preserve">76.1</w:t>
                  </w:r>
                </w:p>
              </w:tc>
              <w:tc>
                <w:tcPr>
                  <w:tcW w:w="350" w:type="pct"/>
                  <w:vAlign w:val="top"/>
                </w:tcPr>
                <w:p>
                  <w:r>
                    <w:t xml:space="preserve">87.1</w:t>
                  </w:r>
                </w:p>
              </w:tc>
              <w:tc>
                <w:tcPr>
                  <w:tcW w:w="350" w:type="pct"/>
                  <w:vAlign w:val="top"/>
                </w:tcPr>
                <w:p>
                  <w:r>
                    <w:t xml:space="preserve">87.1</w:t>
                  </w:r>
                </w:p>
              </w:tc>
              <w:tc>
                <w:tcPr>
                  <w:tcW w:w="350" w:type="pct"/>
                  <w:vAlign w:val="top"/>
                </w:tcPr>
                <w:p>
                  <w:r>
                    <w:t xml:space="preserve">67.2</w:t>
                  </w:r>
                </w:p>
              </w:tc>
              <w:tc>
                <w:tcPr>
                  <w:tcW w:w="400" w:type="pct"/>
                  <w:vAlign w:val="top"/>
                </w:tcPr>
                <w:p>
                  <w:r>
                    <w:t xml:space="preserve">92.3</w:t>
                  </w:r>
                </w:p>
              </w:tc>
              <w:tc>
                <w:tcPr>
                  <w:tcW w:w="350" w:type="pct"/>
                  <w:vAlign w:val="top"/>
                </w:tcPr>
                <w:p>
                  <w:r>
                    <w:t xml:space="preserve">82.5</w:t>
                  </w:r>
                </w:p>
              </w:tc>
            </w:tr>
            <w:tr>
              <w:trPr/>
              <w:tc>
                <w:tcPr>
                  <w:tcW w:w="1250" w:type="pct"/>
                  <w:vMerge w:val="restart"/>
                  <w:vAlign w:val="top"/>
                </w:tcPr>
                <w:p>
                  <w:r>
                    <w:t xml:space="preserve">Podiatrist</w:t>
                  </w:r>
                </w:p>
              </w:tc>
              <w:tc>
                <w:tcPr>
                  <w:tcW w:w="350" w:type="pct"/>
                  <w:vAlign w:val="top"/>
                </w:tcPr>
                <w:p>
                  <w:r>
                    <w:t xml:space="preserve">2011</w:t>
                  </w:r>
                </w:p>
              </w:tc>
              <w:tc>
                <w:tcPr>
                  <w:tcW w:w="350" w:type="pct"/>
                  <w:vAlign w:val="top"/>
                </w:tcPr>
                <w:p>
                  <w:r>
                    <w:t xml:space="preserve">93.8</w:t>
                  </w:r>
                </w:p>
              </w:tc>
              <w:tc>
                <w:tcPr>
                  <w:tcW w:w="350" w:type="pct"/>
                  <w:vAlign w:val="top"/>
                </w:tcPr>
                <w:p>
                  <w:r>
                    <w:t xml:space="preserve">85.2</w:t>
                  </w:r>
                </w:p>
              </w:tc>
              <w:tc>
                <w:tcPr>
                  <w:tcW w:w="350" w:type="pct"/>
                  <w:vAlign w:val="top"/>
                </w:tcPr>
                <w:p>
                  <w:r>
                    <w:t xml:space="preserve">88.1</w:t>
                  </w:r>
                </w:p>
              </w:tc>
              <w:tc>
                <w:tcPr>
                  <w:tcW w:w="350" w:type="pct"/>
                  <w:vAlign w:val="top"/>
                </w:tcPr>
                <w:p>
                  <w:r>
                    <w:t xml:space="preserve">85.0</w:t>
                  </w:r>
                </w:p>
              </w:tc>
              <w:tc>
                <w:tcPr>
                  <w:tcW w:w="350" w:type="pct"/>
                  <w:vAlign w:val="top"/>
                </w:tcPr>
                <w:p>
                  <w:r>
                    <w:t xml:space="preserve">89.9</w:t>
                  </w:r>
                </w:p>
              </w:tc>
              <w:tc>
                <w:tcPr>
                  <w:tcW w:w="350" w:type="pct"/>
                  <w:vAlign w:val="top"/>
                </w:tcPr>
                <w:p>
                  <w:r>
                    <w:t xml:space="preserve">85.6</w:t>
                  </w:r>
                </w:p>
              </w:tc>
              <w:tc>
                <w:tcPr>
                  <w:tcW w:w="350" w:type="pct"/>
                  <w:vAlign w:val="top"/>
                </w:tcPr>
                <w:p>
                  <w:r>
                    <w:t xml:space="preserve">95.7</w:t>
                  </w:r>
                </w:p>
              </w:tc>
              <w:tc>
                <w:tcPr>
                  <w:tcW w:w="400" w:type="pct"/>
                  <w:vAlign w:val="top"/>
                </w:tcPr>
                <w:p>
                  <w:r>
                    <w:t xml:space="preserve">87.5</w:t>
                  </w:r>
                </w:p>
              </w:tc>
              <w:tc>
                <w:tcPr>
                  <w:tcW w:w="350" w:type="pct"/>
                  <w:vAlign w:val="top"/>
                </w:tcPr>
                <w:p>
                  <w:r>
                    <w:t xml:space="preserve">88.5</w:t>
                  </w:r>
                </w:p>
              </w:tc>
            </w:tr>
            <w:tr>
              <w:trPr/>
              <w:tc>
                <w:tcPr>
                  <w:tcW w:w="1250" w:type="pct"/>
                  <w:vMerge/>
                </w:tcPr>
                <w:p/>
              </w:tc>
              <w:tc>
                <w:tcPr>
                  <w:tcW w:w="350" w:type="pct"/>
                  <w:vAlign w:val="top"/>
                </w:tcPr>
                <w:p>
                  <w:r>
                    <w:t xml:space="preserve">2012</w:t>
                  </w:r>
                </w:p>
              </w:tc>
              <w:tc>
                <w:tcPr>
                  <w:tcW w:w="350" w:type="pct"/>
                  <w:vAlign w:val="top"/>
                </w:tcPr>
                <w:p>
                  <w:r>
                    <w:t xml:space="preserve">94.3</w:t>
                  </w:r>
                </w:p>
              </w:tc>
              <w:tc>
                <w:tcPr>
                  <w:tcW w:w="350" w:type="pct"/>
                  <w:vAlign w:val="top"/>
                </w:tcPr>
                <w:p>
                  <w:r>
                    <w:t xml:space="preserve">91.3</w:t>
                  </w:r>
                </w:p>
              </w:tc>
              <w:tc>
                <w:tcPr>
                  <w:tcW w:w="350" w:type="pct"/>
                  <w:vAlign w:val="top"/>
                </w:tcPr>
                <w:p>
                  <w:r>
                    <w:t xml:space="preserve">91.7</w:t>
                  </w:r>
                </w:p>
              </w:tc>
              <w:tc>
                <w:tcPr>
                  <w:tcW w:w="350" w:type="pct"/>
                  <w:vAlign w:val="top"/>
                </w:tcPr>
                <w:p>
                  <w:r>
                    <w:t xml:space="preserve">89.0</w:t>
                  </w:r>
                </w:p>
              </w:tc>
              <w:tc>
                <w:tcPr>
                  <w:tcW w:w="350" w:type="pct"/>
                  <w:vAlign w:val="top"/>
                </w:tcPr>
                <w:p>
                  <w:r>
                    <w:t xml:space="preserve">90.0</w:t>
                  </w:r>
                </w:p>
              </w:tc>
              <w:tc>
                <w:tcPr>
                  <w:tcW w:w="350" w:type="pct"/>
                  <w:vAlign w:val="top"/>
                </w:tcPr>
                <w:p>
                  <w:r>
                    <w:t xml:space="preserve">94.5</w:t>
                  </w:r>
                </w:p>
              </w:tc>
              <w:tc>
                <w:tcPr>
                  <w:tcW w:w="350" w:type="pct"/>
                  <w:vAlign w:val="top"/>
                </w:tcPr>
                <w:p>
                  <w:r>
                    <w:t xml:space="preserve">95.7</w:t>
                  </w:r>
                </w:p>
              </w:tc>
              <w:tc>
                <w:tcPr>
                  <w:tcW w:w="400" w:type="pct"/>
                  <w:vAlign w:val="top"/>
                </w:tcPr>
                <w:p>
                  <w:r>
                    <w:t xml:space="preserve">100.0</w:t>
                  </w:r>
                </w:p>
              </w:tc>
              <w:tc>
                <w:tcPr>
                  <w:tcW w:w="350" w:type="pct"/>
                  <w:vAlign w:val="top"/>
                </w:tcPr>
                <w:p>
                  <w:r>
                    <w:t xml:space="preserve">91.9</w:t>
                  </w:r>
                </w:p>
              </w:tc>
            </w:tr>
            <w:tr>
              <w:trPr/>
              <w:tc>
                <w:tcPr>
                  <w:tcW w:w="1250" w:type="pct"/>
                  <w:vMerge w:val="restart"/>
                  <w:vAlign w:val="top"/>
                </w:tcPr>
                <w:p>
                  <w:r>
                    <w:t xml:space="preserve">Osteopath</w:t>
                  </w:r>
                </w:p>
              </w:tc>
              <w:tc>
                <w:tcPr>
                  <w:tcW w:w="350" w:type="pct"/>
                  <w:vAlign w:val="top"/>
                </w:tcPr>
                <w:p>
                  <w:r>
                    <w:t xml:space="preserve">2011</w:t>
                  </w:r>
                </w:p>
              </w:tc>
              <w:tc>
                <w:tcPr>
                  <w:tcW w:w="350" w:type="pct"/>
                  <w:vAlign w:val="top"/>
                </w:tcPr>
                <w:p>
                  <w:r>
                    <w:t xml:space="preserve">86.3</w:t>
                  </w:r>
                </w:p>
              </w:tc>
              <w:tc>
                <w:tcPr>
                  <w:tcW w:w="350" w:type="pct"/>
                  <w:vAlign w:val="top"/>
                </w:tcPr>
                <w:p>
                  <w:r>
                    <w:t xml:space="preserve">83.0</w:t>
                  </w:r>
                </w:p>
              </w:tc>
              <w:tc>
                <w:tcPr>
                  <w:tcW w:w="350" w:type="pct"/>
                  <w:vAlign w:val="top"/>
                </w:tcPr>
                <w:p>
                  <w:r>
                    <w:t xml:space="preserve">86.9</w:t>
                  </w:r>
                </w:p>
              </w:tc>
              <w:tc>
                <w:tcPr>
                  <w:tcW w:w="350" w:type="pct"/>
                  <w:vAlign w:val="top"/>
                </w:tcPr>
                <w:p>
                  <w:r>
                    <w:t xml:space="preserve">92.2</w:t>
                  </w:r>
                </w:p>
              </w:tc>
              <w:tc>
                <w:tcPr>
                  <w:tcW w:w="350" w:type="pct"/>
                  <w:vAlign w:val="top"/>
                </w:tcPr>
                <w:p>
                  <w:r>
                    <w:t xml:space="preserve">89.7</w:t>
                  </w:r>
                </w:p>
              </w:tc>
              <w:tc>
                <w:tcPr>
                  <w:tcW w:w="350" w:type="pct"/>
                  <w:vAlign w:val="top"/>
                </w:tcPr>
                <w:p>
                  <w:r>
                    <w:t xml:space="preserve">97.3</w:t>
                  </w:r>
                </w:p>
              </w:tc>
              <w:tc>
                <w:tcPr>
                  <w:tcW w:w="350" w:type="pct"/>
                  <w:vAlign w:val="top"/>
                </w:tcPr>
                <w:p>
                  <w:r>
                    <w:t xml:space="preserve">81.3</w:t>
                  </w:r>
                </w:p>
              </w:tc>
              <w:tc>
                <w:tcPr>
                  <w:tcW w:w="400" w:type="pct"/>
                  <w:vAlign w:val="top"/>
                </w:tcPr>
                <w:p>
                  <w:r>
                    <w:t xml:space="preserve">66.7</w:t>
                  </w:r>
                </w:p>
              </w:tc>
              <w:tc>
                <w:tcPr>
                  <w:tcW w:w="350" w:type="pct"/>
                  <w:vAlign w:val="top"/>
                </w:tcPr>
                <w:p>
                  <w:r>
                    <w:t xml:space="preserve">85.1</w:t>
                  </w:r>
                </w:p>
              </w:tc>
            </w:tr>
            <w:tr>
              <w:trPr/>
              <w:tc>
                <w:tcPr>
                  <w:tcW w:w="1250" w:type="pct"/>
                  <w:vMerge/>
                </w:tcPr>
                <w:p/>
              </w:tc>
              <w:tc>
                <w:tcPr>
                  <w:tcW w:w="350" w:type="pct"/>
                  <w:vAlign w:val="top"/>
                </w:tcPr>
                <w:p>
                  <w:r>
                    <w:t xml:space="preserve">2012</w:t>
                  </w:r>
                </w:p>
              </w:tc>
              <w:tc>
                <w:tcPr>
                  <w:tcW w:w="350" w:type="pct"/>
                  <w:vAlign w:val="top"/>
                </w:tcPr>
                <w:p>
                  <w:r>
                    <w:t xml:space="preserve">91.7</w:t>
                  </w:r>
                </w:p>
              </w:tc>
              <w:tc>
                <w:tcPr>
                  <w:tcW w:w="350" w:type="pct"/>
                  <w:vAlign w:val="top"/>
                </w:tcPr>
                <w:p>
                  <w:r>
                    <w:t xml:space="preserve">88.7</w:t>
                  </w:r>
                </w:p>
              </w:tc>
              <w:tc>
                <w:tcPr>
                  <w:tcW w:w="350" w:type="pct"/>
                  <w:vAlign w:val="top"/>
                </w:tcPr>
                <w:p>
                  <w:r>
                    <w:t xml:space="preserve">90.6</w:t>
                  </w:r>
                </w:p>
              </w:tc>
              <w:tc>
                <w:tcPr>
                  <w:tcW w:w="350" w:type="pct"/>
                  <w:vAlign w:val="top"/>
                </w:tcPr>
                <w:p>
                  <w:r>
                    <w:t xml:space="preserve">86.5</w:t>
                  </w:r>
                </w:p>
              </w:tc>
              <w:tc>
                <w:tcPr>
                  <w:tcW w:w="350" w:type="pct"/>
                  <w:vAlign w:val="top"/>
                </w:tcPr>
                <w:p>
                  <w:r>
                    <w:t xml:space="preserve">90.9</w:t>
                  </w:r>
                </w:p>
              </w:tc>
              <w:tc>
                <w:tcPr>
                  <w:tcW w:w="350" w:type="pct"/>
                  <w:vAlign w:val="top"/>
                </w:tcPr>
                <w:p>
                  <w:r>
                    <w:t xml:space="preserve">85.4</w:t>
                  </w:r>
                </w:p>
              </w:tc>
              <w:tc>
                <w:tcPr>
                  <w:tcW w:w="350" w:type="pct"/>
                  <w:vAlign w:val="top"/>
                </w:tcPr>
                <w:p>
                  <w:r>
                    <w:t xml:space="preserve">87.1</w:t>
                  </w:r>
                </w:p>
              </w:tc>
              <w:tc>
                <w:tcPr>
                  <w:tcW w:w="400" w:type="pct"/>
                  <w:vAlign w:val="top"/>
                </w:tcPr>
                <w:p>
                  <w:r>
                    <w:t xml:space="preserve">100.0</w:t>
                  </w:r>
                </w:p>
              </w:tc>
              <w:tc>
                <w:tcPr>
                  <w:tcW w:w="350" w:type="pct"/>
                  <w:vAlign w:val="top"/>
                </w:tcPr>
                <w:p>
                  <w:r>
                    <w:t xml:space="preserve">89.7</w:t>
                  </w:r>
                </w:p>
              </w:tc>
            </w:tr>
            <w:tr>
              <w:trPr/>
              <w:tc>
                <w:tcPr>
                  <w:tcW w:w="1250" w:type="pct"/>
                  <w:vMerge w:val="restart"/>
                  <w:vAlign w:val="top"/>
                </w:tcPr>
                <w:p>
                  <w:r>
                    <w:t xml:space="preserve">Aboriginal and Torres Strait Islander health practitioner</w:t>
                  </w:r>
                  <w:r>
                    <w:rPr>
                      <w:vertAlign w:val="superscript"/>
                    </w:rPr>
                    <w:t xml:space="preserve">(a)</w:t>
                  </w:r>
                </w:p>
              </w:tc>
              <w:tc>
                <w:tcPr>
                  <w:tcW w:w="350" w:type="pct"/>
                  <w:vAlign w:val="top"/>
                </w:tcPr>
                <w:p>
                  <w:r>
                    <w:t xml:space="preserve">2012</w:t>
                  </w:r>
                </w:p>
              </w:tc>
              <w:tc>
                <w:tcPr>
                  <w:tcW w:w="350" w:type="pct"/>
                  <w:vAlign w:val="top"/>
                </w:tcPr>
                <w:p>
                  <w:r>
                    <w:t xml:space="preserve">37.6</w:t>
                  </w:r>
                </w:p>
              </w:tc>
              <w:tc>
                <w:tcPr>
                  <w:tcW w:w="350" w:type="pct"/>
                  <w:vAlign w:val="top"/>
                </w:tcPr>
                <w:p>
                  <w:r>
                    <w:t xml:space="preserve">58.3</w:t>
                  </w:r>
                </w:p>
              </w:tc>
              <w:tc>
                <w:tcPr>
                  <w:tcW w:w="350" w:type="pct"/>
                  <w:vAlign w:val="top"/>
                </w:tcPr>
                <w:p>
                  <w:r>
                    <w:t xml:space="preserve">43.8</w:t>
                  </w:r>
                </w:p>
              </w:tc>
              <w:tc>
                <w:tcPr>
                  <w:tcW w:w="350" w:type="pct"/>
                  <w:vAlign w:val="top"/>
                </w:tcPr>
                <w:p>
                  <w:r>
                    <w:t xml:space="preserve">39.0</w:t>
                  </w:r>
                </w:p>
              </w:tc>
              <w:tc>
                <w:tcPr>
                  <w:tcW w:w="350" w:type="pct"/>
                  <w:vAlign w:val="top"/>
                </w:tcPr>
                <w:p>
                  <w:r>
                    <w:t xml:space="preserve">58.3</w:t>
                  </w:r>
                </w:p>
              </w:tc>
              <w:tc>
                <w:tcPr>
                  <w:tcW w:w="350" w:type="pct"/>
                  <w:vAlign w:val="top"/>
                </w:tcPr>
                <w:p>
                  <w:r>
                    <w:t xml:space="preserve">44.4</w:t>
                  </w:r>
                </w:p>
              </w:tc>
              <w:tc>
                <w:tcPr>
                  <w:tcW w:w="350" w:type="pct"/>
                  <w:vAlign w:val="top"/>
                </w:tcPr>
                <w:p>
                  <w:r>
                    <w:t xml:space="preserve">25.0</w:t>
                  </w:r>
                </w:p>
              </w:tc>
              <w:tc>
                <w:tcPr>
                  <w:tcW w:w="400" w:type="pct"/>
                  <w:vAlign w:val="top"/>
                </w:tcPr>
                <w:p>
                  <w:r>
                    <w:t xml:space="preserve">44.7</w:t>
                  </w:r>
                </w:p>
              </w:tc>
              <w:tc>
                <w:tcPr>
                  <w:tcW w:w="350" w:type="pct"/>
                  <w:vAlign w:val="top"/>
                </w:tcPr>
                <w:p>
                  <w:r>
                    <w:t xml:space="preserve">44.2</w:t>
                  </w:r>
                </w:p>
              </w:tc>
            </w:tr>
          </w:tbl>
          <w:p>
            <w:r>
              <w:t xml:space="preserve"> </w:t>
            </w:r>
          </w:p>
          <w:p>
            <w:r>
              <w:t xml:space="preserve">(a) There are no 2011 survey response rates as these professions joined the National Registration and Accreditation Scheme in 2012. </w:t>
            </w:r>
          </w:p>
          <w:p>
            <w:r>
              <w:rPr>
                <w:i/>
              </w:rPr>
              <w:t xml:space="preserve">Sources:</w:t>
            </w:r>
            <w:r>
              <w:t xml:space="preserve"> NHWDS: allied health practitioners, 2011 and 2012.</w:t>
            </w:r>
          </w:p>
          <w:p>
            <w:r>
              <w:t xml:space="preserve">Data are reported on the basis of the most current address at the time the survey was undertaken, unless stated otherwise. The data include employed allied health practitioners who did not state or adequately describe their location as well as employed allied health practitioners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first time data on medical radiation practitioners, chiropractors, Chinese medicine practitioners, osteopaths and Aboriginal and Torres Strait Islander health practitioners has been produced.</w:t>
            </w:r>
          </w:p>
          <w:p>
            <w:pPr/>
            <w:r>
              <w:rPr>
                <w:rStyle w:val="row-content-rich-text"/>
              </w:rPr>
              <w:t xml:space="preserve">For psychologists, pharmacists, physiotherapists, occupational therapists, optometrists and podiatrists, data has previously been published by the AIHW based on jurisdictional based board registration and survey data. Data in this report collected through the NRAS is not directly comparable with data collected through the jurisdiction-based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29/08/2013</w:t>
            </w:r>
          </w:p>
        </w:tc>
      </w:tr>
    </w:tbl>
    <w:p>
      <w:r>
        <w:br/>
      </w:r>
    </w:p>
    <w:sectPr>
      <w:footerReference xmlns:r="http://schemas.openxmlformats.org/officeDocument/2006/relationships" w:type="default" r:id="Rc4fda6a41bd8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537731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55308822e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da6a41bd84c30" /><Relationship Type="http://schemas.openxmlformats.org/officeDocument/2006/relationships/header" Target="/word/header1.xml" Id="Ra246a34231cf47d7" /><Relationship Type="http://schemas.openxmlformats.org/officeDocument/2006/relationships/settings" Target="/word/settings.xml" Id="R1833313a94f14722" /><Relationship Type="http://schemas.openxmlformats.org/officeDocument/2006/relationships/styles" Target="/word/styles.xml" Id="R397f84b7d3334f85" /><Relationship Type="http://schemas.openxmlformats.org/officeDocument/2006/relationships/hyperlink" Target="https://meteor.aihw.gov.au/RegistrationAuthority/5" TargetMode="External" Id="R63edf82735c8476f" /><Relationship Type="http://schemas.openxmlformats.org/officeDocument/2006/relationships/hyperlink" Target="http://www.ahpra.gov.au/" TargetMode="External" Id="R34d2bc47d6f344b6" /><Relationship Type="http://schemas.openxmlformats.org/officeDocument/2006/relationships/hyperlink" Target="http://www.aihw.gov.au" TargetMode="External" Id="Rc293cfa8fb734d81" /><Relationship Type="http://schemas.openxmlformats.org/officeDocument/2006/relationships/hyperlink" Target="http://www.aihw.gov.au/workforce-publications/" TargetMode="External" Id="Rdfae61ed82c046f0" /><Relationship Type="http://schemas.openxmlformats.org/officeDocument/2006/relationships/hyperlink" Target="mailto:info@aihw.gov.au" TargetMode="External" Id="R0276229f51b543c6" /><Relationship Type="http://schemas.openxmlformats.org/officeDocument/2006/relationships/hyperlink" Target="http://www.hwa.gov.au/work-programs/information-analysis-and-planning/health-workforce-data" TargetMode="External" Id="R4bec4f01dbba49e6" /><Relationship Type="http://schemas.openxmlformats.org/officeDocument/2006/relationships/hyperlink" Target="http://www.aihw.gov.au/workforce-publications/" TargetMode="External" Id="R70c08bf8c30945a2" /><Relationship Type="http://schemas.openxmlformats.org/officeDocument/2006/relationships/numbering" Target="/word/numbering.xml" Id="R5e4d1c5c67b74506" /></Relationships>
</file>

<file path=word/_rels/header1.xml.rels>&#65279;<?xml version="1.0" encoding="utf-8"?><Relationships xmlns="http://schemas.openxmlformats.org/package/2006/relationships"><Relationship Type="http://schemas.openxmlformats.org/officeDocument/2006/relationships/image" Target="/media/image.png" Id="Rac655308822e44ae" /></Relationships>
</file>