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f277243d8a41bd"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Exit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730e32d664eda">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custody or confinement of a young person held under youth justice supervision ends,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1c4afa8fb14454">
              <w:r>
                <w:rPr>
                  <w:rStyle w:val="Hyperlink"/>
                </w:rPr>
                <w:t xml:space="preserve">Detention period—detention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41d20cdfd04163">
              <w:r>
                <w:rPr>
                  <w:rStyle w:val="Hyperlink"/>
                </w:rPr>
                <w:t xml:space="preserve">Juvenile justice detention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Release on bail by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Release 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7 (release on bail by appeal) is used to end a period of remand where a young person is released into the community on bail though an appeal process.</w:t>
            </w:r>
          </w:p>
          <w:p>
            <w:pPr>
              <w:spacing w:after="160"/>
            </w:pPr>
            <w:r>
              <w:rPr>
                <w:rStyle w:val="row-content-rich-text"/>
              </w:rPr>
              <w:t xml:space="preserve">CODE 8 (release stayed pending appeal) is used to end a period of detention where a young person is released into the community to await the outcome of an appeal process.</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Detention code ‘5‘ should include detention periods that ended with a release on supervised release. This includes the community-based portion of a detention sentence.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c3288c4811419f">
              <w:r>
                <w:rPr>
                  <w:rStyle w:val="Hyperlink"/>
                </w:rPr>
                <w:t xml:space="preserve">Service episode—detention end reason, code N[N]</w:t>
              </w:r>
            </w:hyperlink>
          </w:p>
          <w:p>
            <w:pPr>
              <w:spacing w:before="0" w:after="0"/>
            </w:pPr>
            <w:r>
              <w:rPr>
                <w:rStyle w:val="row-content"/>
                <w:color w:val="244061"/>
              </w:rPr>
              <w:t xml:space="preserve">       </w:t>
            </w:r>
            <w:hyperlink w:history="true" r:id="Rfc2d9181c04b49f7">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d1e2216533874506">
              <w:r>
                <w:rPr>
                  <w:rStyle w:val="Hyperlink"/>
                </w:rPr>
                <w:t xml:space="preserve">Detention period—detention end reason, youth justice detention end reason code N[N]</w:t>
              </w:r>
            </w:hyperlink>
          </w:p>
          <w:p>
            <w:pPr>
              <w:spacing w:before="0" w:after="0"/>
            </w:pPr>
            <w:r>
              <w:rPr>
                <w:rStyle w:val="row-content"/>
                <w:color w:val="244061"/>
              </w:rPr>
              <w:t xml:space="preserve">       </w:t>
            </w:r>
            <w:hyperlink w:history="true" r:id="R645a065655f04bc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a9057dca2a44ff">
              <w:r>
                <w:rPr>
                  <w:rStyle w:val="Hyperlink"/>
                </w:rPr>
                <w:t xml:space="preserve">Juvenile Justice Detention file cluster</w:t>
              </w:r>
            </w:hyperlink>
          </w:p>
          <w:p>
            <w:pPr>
              <w:spacing w:before="0" w:after="0"/>
            </w:pPr>
            <w:r>
              <w:rPr>
                <w:rStyle w:val="row-content"/>
                <w:color w:val="244061"/>
              </w:rPr>
              <w:t xml:space="preserve">       </w:t>
            </w:r>
            <w:hyperlink w:history="true" r:id="R9421963a1b0c4c3e">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Business rules:</w:t>
            </w:r>
          </w:p>
          <w:p>
            <w:pPr>
              <w:pStyle w:val="ListParagraph"/>
              <w:numPr>
                <w:ilvl w:val="0"/>
                <w:numId w:val="2"/>
              </w:numPr>
            </w:pPr>
            <w:r>
              <w:rPr>
                <w:rStyle w:val="row-content"/>
              </w:rPr>
              <w:t xml:space="preserve">If the </w:t>
            </w:r>
            <w:hyperlink w:history="true" r:id="R2fef73405d4b4763">
              <w:r>
                <w:rPr>
                  <w:rStyle w:val="Hyperlink"/>
                </w:rPr>
                <w:t xml:space="preserve">detention end reason</w:t>
              </w:r>
            </w:hyperlink>
            <w:r>
              <w:rPr>
                <w:rStyle w:val="row-content"/>
              </w:rPr>
              <w:t xml:space="preserve"> is CODE 5 (release on parole), the </w:t>
            </w:r>
            <w:hyperlink w:history="true" r:id="Rcd02c60590f4415d">
              <w:r>
                <w:rPr>
                  <w:rStyle w:val="Hyperlink"/>
                </w:rPr>
                <w:t xml:space="preserve">detention type</w:t>
              </w:r>
            </w:hyperlink>
            <w:r>
              <w:rPr>
                <w:rStyle w:val="row-content"/>
              </w:rPr>
              <w:t xml:space="preserve"> must be sentenced (CODE 3).</w:t>
            </w:r>
          </w:p>
          <w:p>
            <w:pPr>
              <w:pStyle w:val="ListParagraph"/>
              <w:numPr>
                <w:ilvl w:val="0"/>
                <w:numId w:val="2"/>
              </w:numPr>
            </w:pPr>
            <w:r>
              <w:rPr>
                <w:rStyle w:val="row-content"/>
              </w:rPr>
              <w:t xml:space="preserve">If the detention end reason is released on bail, the detention type must be unsentenced (CODE 1, CODE 2).</w:t>
            </w:r>
          </w:p>
          <w:p>
            <w:pPr>
              <w:pStyle w:val="ListParagraph"/>
              <w:numPr>
                <w:ilvl w:val="0"/>
                <w:numId w:val="2"/>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2"/>
              </w:numPr>
            </w:pPr>
            <w:r>
              <w:rPr>
                <w:rStyle w:val="row-content"/>
              </w:rPr>
              <w:t xml:space="preserve">If the detention end reason for a previous detention period was CODE 2 (death) there must not be any subsequent detention periods.</w:t>
            </w:r>
          </w:p>
          <w:p>
            <w:pPr>
              <w:pStyle w:val="ListParagraph"/>
              <w:numPr>
                <w:ilvl w:val="0"/>
                <w:numId w:val="2"/>
              </w:numPr>
            </w:pPr>
            <w:r>
              <w:rPr>
                <w:rStyle w:val="row-content"/>
              </w:rPr>
              <w:t xml:space="preserve">If the detention end reason is CODE 2 (death) there must be a corresponding order period with an order end reason of CODE 3 (death).</w:t>
            </w:r>
          </w:p>
          <w:p>
            <w:pPr>
              <w:pStyle w:val="ListParagraph"/>
              <w:numPr>
                <w:ilvl w:val="0"/>
                <w:numId w:val="2"/>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2"/>
              </w:numPr>
            </w:pPr>
            <w:r>
              <w:rPr>
                <w:rStyle w:val="row-content"/>
              </w:rPr>
              <w:t xml:space="preserve">If the detention end date is after the end of the reporting period, the detention end reason must be CODE 0 (not applicable).</w:t>
            </w:r>
          </w:p>
          <w:p>
            <w:pPr>
              <w:pStyle w:val="ListParagraph"/>
              <w:numPr>
                <w:ilvl w:val="0"/>
                <w:numId w:val="2"/>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hyperlink w:history="true" r:id="R8f9cf0d44d3f4cba">
              <w:r>
                <w:rPr>
                  <w:rStyle w:val="Hyperlink"/>
                </w:rPr>
                <w:t xml:space="preserve">Juvenile Justice Detention file cluster</w:t>
              </w:r>
            </w:hyperlink>
          </w:p>
          <w:p>
            <w:pPr>
              <w:spacing w:before="0" w:after="0"/>
            </w:pPr>
            <w:r>
              <w:rPr>
                <w:rStyle w:val="row-content"/>
                <w:color w:val="244061"/>
              </w:rPr>
              <w:t xml:space="preserve">       </w:t>
            </w:r>
            <w:hyperlink w:history="true" r:id="Rc6109cc3f93c488c">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Business rules:</w:t>
            </w:r>
          </w:p>
          <w:p>
            <w:pPr>
              <w:pStyle w:val="ListParagraph"/>
              <w:numPr>
                <w:ilvl w:val="0"/>
                <w:numId w:val="3"/>
              </w:numPr>
            </w:pPr>
            <w:r>
              <w:rPr>
                <w:rStyle w:val="row-content"/>
              </w:rPr>
              <w:t xml:space="preserve">If the </w:t>
            </w:r>
            <w:hyperlink w:history="true" r:id="R70cbe0af261f412c">
              <w:r>
                <w:rPr>
                  <w:rStyle w:val="Hyperlink"/>
                </w:rPr>
                <w:t xml:space="preserve">detention end reason</w:t>
              </w:r>
            </w:hyperlink>
            <w:r>
              <w:rPr>
                <w:rStyle w:val="row-content"/>
              </w:rPr>
              <w:t xml:space="preserve"> is CODE 5 (release on parole), the </w:t>
            </w:r>
            <w:hyperlink w:history="true" r:id="R719f54e1d6b440fc">
              <w:r>
                <w:rPr>
                  <w:rStyle w:val="Hyperlink"/>
                </w:rPr>
                <w:t xml:space="preserve">detention type</w:t>
              </w:r>
            </w:hyperlink>
            <w:r>
              <w:rPr>
                <w:rStyle w:val="row-content"/>
              </w:rPr>
              <w:t xml:space="preserve"> must be sentenced (CODE 3).</w:t>
            </w:r>
          </w:p>
          <w:p>
            <w:pPr>
              <w:pStyle w:val="ListParagraph"/>
              <w:numPr>
                <w:ilvl w:val="0"/>
                <w:numId w:val="3"/>
              </w:numPr>
            </w:pPr>
            <w:r>
              <w:rPr>
                <w:rStyle w:val="row-content"/>
              </w:rPr>
              <w:t xml:space="preserve">If the detention end reason is released on bail, the detention type must be unsentenced (CODE 1, CODE 2).</w:t>
            </w:r>
          </w:p>
          <w:p>
            <w:pPr>
              <w:pStyle w:val="ListParagraph"/>
              <w:numPr>
                <w:ilvl w:val="0"/>
                <w:numId w:val="3"/>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3"/>
              </w:numPr>
            </w:pPr>
            <w:r>
              <w:rPr>
                <w:rStyle w:val="row-content"/>
              </w:rPr>
              <w:t xml:space="preserve">If the detention end reason for a previous detention period was CODE 2 (death) there must not be any subsequent detention periods.</w:t>
            </w:r>
          </w:p>
          <w:p>
            <w:pPr>
              <w:pStyle w:val="ListParagraph"/>
              <w:numPr>
                <w:ilvl w:val="0"/>
                <w:numId w:val="3"/>
              </w:numPr>
            </w:pPr>
            <w:r>
              <w:rPr>
                <w:rStyle w:val="row-content"/>
              </w:rPr>
              <w:t xml:space="preserve">If the detention end reason is CODE 2 (death) there must be a corresponding order period with an order end reason of CODE 3 (death).</w:t>
            </w:r>
          </w:p>
          <w:p>
            <w:pPr>
              <w:pStyle w:val="ListParagraph"/>
              <w:numPr>
                <w:ilvl w:val="0"/>
                <w:numId w:val="3"/>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3"/>
              </w:numPr>
            </w:pPr>
            <w:r>
              <w:rPr>
                <w:rStyle w:val="row-content"/>
              </w:rPr>
              <w:t xml:space="preserve">If the detention end date is after the end of the reporting period, the detention end reason must be CODE 0 (not applicable).</w:t>
            </w:r>
          </w:p>
          <w:p>
            <w:pPr>
              <w:pStyle w:val="ListParagraph"/>
              <w:numPr>
                <w:ilvl w:val="0"/>
                <w:numId w:val="3"/>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hyperlink w:history="true" r:id="R27ea252a23ee4dda">
              <w:r>
                <w:rPr>
                  <w:rStyle w:val="Hyperlink"/>
                </w:rPr>
                <w:t xml:space="preserve">Youth Justice Detention file cluster</w:t>
              </w:r>
            </w:hyperlink>
          </w:p>
          <w:p>
            <w:pPr>
              <w:spacing w:before="0" w:after="0"/>
            </w:pPr>
            <w:r>
              <w:rPr>
                <w:rStyle w:val="row-content"/>
                <w:color w:val="244061"/>
              </w:rPr>
              <w:t xml:space="preserve">       </w:t>
            </w:r>
            <w:hyperlink w:history="true" r:id="R7c3364d632094763">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Business rules:</w:t>
            </w:r>
          </w:p>
          <w:p>
            <w:pPr>
              <w:pStyle w:val="ListParagraph"/>
              <w:numPr>
                <w:ilvl w:val="0"/>
                <w:numId w:val="4"/>
              </w:numPr>
            </w:pPr>
            <w:r>
              <w:rPr>
                <w:rStyle w:val="row-content"/>
              </w:rPr>
              <w:t xml:space="preserve">If the </w:t>
            </w:r>
            <w:hyperlink w:history="true" r:id="Rd5095d2ddadf4d9a">
              <w:r>
                <w:rPr>
                  <w:rStyle w:val="Hyperlink"/>
                </w:rPr>
                <w:t xml:space="preserve">detention end reason</w:t>
              </w:r>
            </w:hyperlink>
            <w:r>
              <w:rPr>
                <w:rStyle w:val="row-content"/>
              </w:rPr>
              <w:t xml:space="preserve"> is CODE 5 (release on parole), the </w:t>
            </w:r>
            <w:hyperlink w:history="true" r:id="R4e3bfc46c0e649cc">
              <w:r>
                <w:rPr>
                  <w:rStyle w:val="Hyperlink"/>
                </w:rPr>
                <w:t xml:space="preserve">detention type</w:t>
              </w:r>
            </w:hyperlink>
            <w:r>
              <w:rPr>
                <w:rStyle w:val="row-content"/>
              </w:rPr>
              <w:t xml:space="preserve"> must be sentenced (CODE 3).</w:t>
            </w:r>
          </w:p>
          <w:p>
            <w:pPr>
              <w:pStyle w:val="ListParagraph"/>
              <w:numPr>
                <w:ilvl w:val="0"/>
                <w:numId w:val="4"/>
              </w:numPr>
            </w:pPr>
            <w:r>
              <w:rPr>
                <w:rStyle w:val="row-content"/>
              </w:rPr>
              <w:t xml:space="preserve">If the detention end reason is released on bail, the detention type must be unsentenced (CODE 1, CODE 2).</w:t>
            </w:r>
          </w:p>
          <w:p>
            <w:pPr>
              <w:pStyle w:val="ListParagraph"/>
              <w:numPr>
                <w:ilvl w:val="0"/>
                <w:numId w:val="4"/>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4"/>
              </w:numPr>
            </w:pPr>
            <w:r>
              <w:rPr>
                <w:rStyle w:val="row-content"/>
              </w:rPr>
              <w:t xml:space="preserve">If the detention end reason for a previous detention period was CODE 2 (death) there must not be any subsequent detention periods.</w:t>
            </w:r>
          </w:p>
          <w:p>
            <w:pPr>
              <w:pStyle w:val="ListParagraph"/>
              <w:numPr>
                <w:ilvl w:val="0"/>
                <w:numId w:val="4"/>
              </w:numPr>
            </w:pPr>
            <w:r>
              <w:rPr>
                <w:rStyle w:val="row-content"/>
              </w:rPr>
              <w:t xml:space="preserve">If the detention end reason is CODE 2 (death) there must be a corresponding order period with an order end reason of CODE 3 (death).</w:t>
            </w:r>
          </w:p>
          <w:p>
            <w:pPr>
              <w:pStyle w:val="ListParagraph"/>
              <w:numPr>
                <w:ilvl w:val="0"/>
                <w:numId w:val="4"/>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4"/>
              </w:numPr>
            </w:pPr>
            <w:r>
              <w:rPr>
                <w:rStyle w:val="row-content"/>
              </w:rPr>
              <w:t xml:space="preserve">If the detention end date is after the end of the reporting period, the detention end reason must be CODE 0 (not applicable).</w:t>
            </w:r>
          </w:p>
          <w:p>
            <w:pPr>
              <w:pStyle w:val="ListParagraph"/>
              <w:numPr>
                <w:ilvl w:val="0"/>
                <w:numId w:val="4"/>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p>
        </w:tc>
      </w:tr>
    </w:tbl>
    <w:p/>
    <w:tbl>
      <w:tblPr>
        <w:tblStyle w:val="TableGrid"/>
        <w:tblW w:w="0" w:type="auto"/>
      </w:tblPr>
    </w:tbl>
    <w:p>
      <w:r>
        <w:br/>
      </w:r>
    </w:p>
    <w:sectPr>
      <w:footerReference xmlns:r="http://schemas.openxmlformats.org/officeDocument/2006/relationships" w:type="default" r:id="Rd341c0a29f60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537444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5d83eefd3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1c0a29f604853" /><Relationship Type="http://schemas.openxmlformats.org/officeDocument/2006/relationships/header" Target="/word/header1.xml" Id="Rdbe8cbe7df5a4ada" /><Relationship Type="http://schemas.openxmlformats.org/officeDocument/2006/relationships/settings" Target="/word/settings.xml" Id="R3eee6c4b74784e38" /><Relationship Type="http://schemas.openxmlformats.org/officeDocument/2006/relationships/styles" Target="/word/styles.xml" Id="Rc0cecf4234d0419d" /><Relationship Type="http://schemas.openxmlformats.org/officeDocument/2006/relationships/hyperlink" Target="https://meteor.aihw.gov.au/RegistrationAuthority/4" TargetMode="External" Id="R7b6730e32d664eda" /><Relationship Type="http://schemas.openxmlformats.org/officeDocument/2006/relationships/hyperlink" Target="https://meteor.aihw.gov.au/content/537453" TargetMode="External" Id="R5e1c4afa8fb14454" /><Relationship Type="http://schemas.openxmlformats.org/officeDocument/2006/relationships/hyperlink" Target="https://meteor.aihw.gov.au/content/754615" TargetMode="External" Id="Re441d20cdfd04163" /><Relationship Type="http://schemas.openxmlformats.org/officeDocument/2006/relationships/hyperlink" Target="https://meteor.aihw.gov.au/content/387524" TargetMode="External" Id="Rd0c3288c4811419f" /><Relationship Type="http://schemas.openxmlformats.org/officeDocument/2006/relationships/hyperlink" Target="https://meteor.aihw.gov.au/RegistrationAuthority/1" TargetMode="External" Id="Rfc2d9181c04b49f7" /><Relationship Type="http://schemas.openxmlformats.org/officeDocument/2006/relationships/hyperlink" Target="https://meteor.aihw.gov.au/content/743916" TargetMode="External" Id="Rd1e2216533874506" /><Relationship Type="http://schemas.openxmlformats.org/officeDocument/2006/relationships/hyperlink" Target="https://meteor.aihw.gov.au/RegistrationAuthority/4" TargetMode="External" Id="R645a065655f04bc8" /><Relationship Type="http://schemas.openxmlformats.org/officeDocument/2006/relationships/hyperlink" Target="https://meteor.aihw.gov.au/content/466172" TargetMode="External" Id="R67a9057dca2a44ff" /><Relationship Type="http://schemas.openxmlformats.org/officeDocument/2006/relationships/hyperlink" Target="https://meteor.aihw.gov.au/RegistrationAuthority/4" TargetMode="External" Id="R9421963a1b0c4c3e" /><Relationship Type="http://schemas.openxmlformats.org/officeDocument/2006/relationships/numbering" Target="/word/numbering.xml" Id="Rdfdc2f68bee04f85" /><Relationship Type="http://schemas.openxmlformats.org/officeDocument/2006/relationships/hyperlink" Target="https://meteor.aihw.gov.au/content/537444" TargetMode="External" Id="R2fef73405d4b4763" /><Relationship Type="http://schemas.openxmlformats.org/officeDocument/2006/relationships/hyperlink" Target="https://meteor.aihw.gov.au/content/537181" TargetMode="External" Id="Rcd02c60590f4415d" /><Relationship Type="http://schemas.openxmlformats.org/officeDocument/2006/relationships/hyperlink" Target="https://meteor.aihw.gov.au/content/770863" TargetMode="External" Id="R8f9cf0d44d3f4cba" /><Relationship Type="http://schemas.openxmlformats.org/officeDocument/2006/relationships/hyperlink" Target="https://meteor.aihw.gov.au/RegistrationAuthority/4" TargetMode="External" Id="Rc6109cc3f93c488c" /><Relationship Type="http://schemas.openxmlformats.org/officeDocument/2006/relationships/hyperlink" Target="https://meteor.aihw.gov.au/content/537444" TargetMode="External" Id="R70cbe0af261f412c" /><Relationship Type="http://schemas.openxmlformats.org/officeDocument/2006/relationships/hyperlink" Target="https://meteor.aihw.gov.au/content/537181" TargetMode="External" Id="R719f54e1d6b440fc" /><Relationship Type="http://schemas.openxmlformats.org/officeDocument/2006/relationships/hyperlink" Target="https://meteor.aihw.gov.au/content/744071" TargetMode="External" Id="R27ea252a23ee4dda" /><Relationship Type="http://schemas.openxmlformats.org/officeDocument/2006/relationships/hyperlink" Target="https://meteor.aihw.gov.au/RegistrationAuthority/4" TargetMode="External" Id="R7c3364d632094763" /><Relationship Type="http://schemas.openxmlformats.org/officeDocument/2006/relationships/hyperlink" Target="https://meteor.aihw.gov.au/content/537444" TargetMode="External" Id="Rd5095d2ddadf4d9a" /><Relationship Type="http://schemas.openxmlformats.org/officeDocument/2006/relationships/hyperlink" Target="https://meteor.aihw.gov.au/content/537181" TargetMode="External" Id="R4e3bfc46c0e649cc" /></Relationships>
</file>

<file path=word/_rels/header1.xml.rels>&#65279;<?xml version="1.0" encoding="utf-8"?><Relationships xmlns="http://schemas.openxmlformats.org/package/2006/relationships"><Relationship Type="http://schemas.openxmlformats.org/officeDocument/2006/relationships/image" Target="/media/image.png" Id="Reda5d83eefd34238" /></Relationships>
</file>