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585c5eedf14b45" /></Relationships>
</file>

<file path=word/document.xml><?xml version="1.0" encoding="utf-8"?>
<w:document xmlns:r="http://schemas.openxmlformats.org/officeDocument/2006/relationships" xmlns:w="http://schemas.openxmlformats.org/wordprocessingml/2006/main">
  <w:body>
    <w:p>
      <w:pPr>
        <w:pStyle w:val="Title"/>
      </w:pPr>
      <w:r>
        <w:t>Clinical specialties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specialties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dcdfab70147b5">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clinical specialty of health-care providers.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Chiropractics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Haematology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Immunology and allergy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Clinical pharmacology (excluding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Cosmetic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Emergency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Endocrinology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Gastroenterology and hepatology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General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General practice–non-procedural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practice–procedural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General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Geriatric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Gynaecology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Intensive care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Medical oncology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Midwifery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Neurosurgery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Neonatal or perinatal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Nuclear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Nursing–general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Nursing–nurse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Nutrition or dietician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Obstetrics and 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Obstetrics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Occupational and environmental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Ophthalmology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Orthopaedic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Osteopathy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Paediatrics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Paediatric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Paramedical and ambulance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Pharmacy (excluding clinical pharmacology)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Respiratory and sleep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Rheumatology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Sports and exercise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Radiation oncology (therapeutic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Vascular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Other allied health (including complementary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hospital-based medical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Anaesthesia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Maternal-fetal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Medical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Oral and maxillofacial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Palliative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Urogynaecology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Reproductive endocrinology and infertility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Paediatric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Community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Gynaecological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Obstetrical and gynaecological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13   Dentistry</w:t>
            </w:r>
          </w:p>
          <w:p>
            <w:pPr>
              <w:spacing w:after="160"/>
            </w:pPr>
            <w:r>
              <w:rPr>
                <w:rStyle w:val="row-content-rich-text"/>
              </w:rPr>
              <w:t xml:space="preserve">'Dentistry' excludes oral and maxillofacial surgery.</w:t>
            </w:r>
          </w:p>
          <w:p>
            <w:pPr>
              <w:spacing w:after="160"/>
            </w:pPr>
            <w:r>
              <w:rPr>
                <w:rStyle w:val="row-content-rich-text"/>
              </w:rPr>
              <w:t xml:space="preserve">CODE 15   Diagnostic radiology</w:t>
            </w:r>
          </w:p>
          <w:p>
            <w:pPr>
              <w:spacing w:after="160"/>
            </w:pPr>
            <w:r>
              <w:rPr>
                <w:rStyle w:val="row-content-rich-text"/>
              </w:rPr>
              <w:t xml:space="preserve">'Diagnostic radiology' includes diagnostic ultrasound.</w:t>
            </w:r>
          </w:p>
          <w:p>
            <w:pPr>
              <w:spacing w:after="160"/>
            </w:pPr>
            <w:r>
              <w:rPr>
                <w:rStyle w:val="row-content-rich-text"/>
              </w:rPr>
              <w:t xml:space="preserve">CODE 16   Otolaryngology</w:t>
            </w:r>
          </w:p>
          <w:p>
            <w:pPr>
              <w:spacing w:after="160"/>
            </w:pPr>
            <w:r>
              <w:rPr>
                <w:rStyle w:val="row-content-rich-text"/>
              </w:rPr>
              <w:t xml:space="preserve">'Otolaryngology' includes ear, nose, throat, head and neck surgeons.</w:t>
            </w:r>
          </w:p>
          <w:p>
            <w:pPr>
              <w:spacing w:after="160"/>
            </w:pPr>
            <w:r>
              <w:rPr>
                <w:rStyle w:val="row-content-rich-text"/>
              </w:rPr>
              <w:t xml:space="preserve">CODE 22   General medicine</w:t>
            </w:r>
          </w:p>
          <w:p>
            <w:pPr>
              <w:spacing w:after="160"/>
            </w:pPr>
            <w:r>
              <w:rPr>
                <w:rStyle w:val="row-content-rich-text"/>
              </w:rPr>
              <w:t xml:space="preserve">'General medicine' includes general and internal medicine physicians and endoscopy.</w:t>
            </w:r>
          </w:p>
          <w:p>
            <w:pPr>
              <w:spacing w:after="160"/>
            </w:pPr>
            <w:r>
              <w:rPr>
                <w:rStyle w:val="row-content-rich-text"/>
              </w:rPr>
              <w:t xml:space="preserve">CODE 25   General surgery</w:t>
            </w:r>
          </w:p>
          <w:p>
            <w:pPr>
              <w:spacing w:after="160"/>
            </w:pPr>
            <w:r>
              <w:rPr>
                <w:rStyle w:val="row-content-rich-text"/>
              </w:rPr>
              <w:t xml:space="preserve">'General surgery' includes surgical procedures, including colorectal surgery.</w:t>
            </w:r>
          </w:p>
          <w:p>
            <w:pPr>
              <w:spacing w:after="160"/>
            </w:pPr>
            <w:r>
              <w:rPr>
                <w:rStyle w:val="row-content-rich-text"/>
              </w:rPr>
              <w:t xml:space="preserve">CODE 27   Gynaecology only</w:t>
            </w:r>
          </w:p>
          <w:p>
            <w:pPr>
              <w:spacing w:after="160"/>
            </w:pPr>
            <w:r>
              <w:rPr>
                <w:rStyle w:val="row-content-rich-text"/>
              </w:rPr>
              <w:t xml:space="preserve">'Gynaecology only' includes gynaecologists who only diagnose, treat and aid in the prevention of disorders of the female reproductive system (RANZCOG 2013).</w:t>
            </w:r>
          </w:p>
          <w:p>
            <w:pPr>
              <w:spacing w:after="160"/>
            </w:pPr>
            <w:r>
              <w:rPr>
                <w:rStyle w:val="row-content-rich-text"/>
              </w:rPr>
              <w:t xml:space="preserve">CODE 31   Midwifery</w:t>
            </w:r>
          </w:p>
          <w:p>
            <w:pPr>
              <w:spacing w:after="160"/>
            </w:pPr>
            <w:r>
              <w:rPr>
                <w:rStyle w:val="row-content-rich-text"/>
              </w:rPr>
              <w:t xml:space="preserve">'Midwifery' includes registered midwives only.</w:t>
            </w:r>
          </w:p>
          <w:p>
            <w:pPr>
              <w:spacing w:after="160"/>
            </w:pPr>
            <w:r>
              <w:rPr>
                <w:rStyle w:val="row-content-rich-text"/>
              </w:rPr>
              <w:t xml:space="preserve">CODE 35   Nuclear medicine</w:t>
            </w:r>
          </w:p>
          <w:p>
            <w:pPr>
              <w:spacing w:after="160"/>
            </w:pPr>
            <w:r>
              <w:rPr>
                <w:rStyle w:val="row-content-rich-text"/>
              </w:rPr>
              <w:t xml:space="preserve">'Nuclear medicine' includes radiotherapy and radiation oncology.</w:t>
            </w:r>
          </w:p>
          <w:p>
            <w:pPr>
              <w:spacing w:after="160"/>
            </w:pPr>
            <w:r>
              <w:rPr>
                <w:rStyle w:val="row-content-rich-text"/>
              </w:rPr>
              <w:t xml:space="preserve">CODE 36   Nursing–general</w:t>
            </w:r>
          </w:p>
          <w:p>
            <w:pPr>
              <w:spacing w:after="160"/>
            </w:pPr>
            <w:r>
              <w:rPr>
                <w:rStyle w:val="row-content-rich-text"/>
              </w:rPr>
              <w:t xml:space="preserve">'Nursing-general' includes enrolled and registered nurses.</w:t>
            </w:r>
          </w:p>
          <w:p>
            <w:pPr>
              <w:spacing w:after="160"/>
            </w:pPr>
            <w:r>
              <w:rPr>
                <w:rStyle w:val="row-content-rich-text"/>
              </w:rPr>
              <w:t xml:space="preserve">CODE 37   Nursing–nurse practitioner</w:t>
            </w:r>
          </w:p>
          <w:p>
            <w:pPr>
              <w:spacing w:after="160"/>
            </w:pPr>
            <w:r>
              <w:rPr>
                <w:rStyle w:val="row-content-rich-text"/>
              </w:rPr>
              <w:t xml:space="preserve">'Nursing–nurse practitioner' includes registered nurse practitioners only.</w:t>
            </w:r>
          </w:p>
          <w:p>
            <w:pPr>
              <w:spacing w:after="160"/>
            </w:pPr>
            <w:r>
              <w:rPr>
                <w:rStyle w:val="row-content-rich-text"/>
              </w:rPr>
              <w:t xml:space="preserve">CODE 39   Obstetrics and gynaecology</w:t>
            </w:r>
          </w:p>
          <w:p>
            <w:pPr>
              <w:spacing w:after="160"/>
            </w:pPr>
            <w:r>
              <w:rPr>
                <w:rStyle w:val="row-content-rich-text"/>
              </w:rPr>
              <w:t xml:space="preserve">'Obstetrics and gynaecology' includes specialists who carry out gynaecological examinations, diagnosis and operations on women; discuss suitable contraceptive methods with referred patients; provide medical care before, during and after childbirth; deliver babies through normal procedures or by caeserean section; examine mothers and babies after childbirth to check for complications; and treat infertility by chemical or operative measures (RANZCOG 2013).</w:t>
            </w:r>
          </w:p>
          <w:p>
            <w:pPr>
              <w:spacing w:after="160"/>
            </w:pPr>
            <w:r>
              <w:rPr>
                <w:rStyle w:val="row-content-rich-text"/>
              </w:rPr>
              <w:t xml:space="preserve">CODE 40   Obstetrics only</w:t>
            </w:r>
          </w:p>
          <w:p>
            <w:pPr>
              <w:spacing w:after="160"/>
            </w:pPr>
            <w:r>
              <w:rPr>
                <w:rStyle w:val="row-content-rich-text"/>
              </w:rPr>
              <w:t xml:space="preserve">'Obstetrics only' includes obstetricians who only provide medical care before, during and after childbirth (RANZCOG 2013).</w:t>
            </w:r>
          </w:p>
          <w:p>
            <w:pPr>
              <w:spacing w:after="160"/>
            </w:pPr>
            <w:r>
              <w:rPr>
                <w:rStyle w:val="row-content-rich-text"/>
              </w:rPr>
              <w:t xml:space="preserve">CODE 41   Occupational and environmental medicine</w:t>
            </w:r>
          </w:p>
          <w:p>
            <w:pPr>
              <w:spacing w:after="160"/>
            </w:pPr>
            <w:r>
              <w:rPr>
                <w:rStyle w:val="row-content-rich-text"/>
              </w:rPr>
              <w:t xml:space="preserve">'Occupational and environmental medicine' should be used for doctors only; occupational therapists should be recorded at Code 67.</w:t>
            </w:r>
          </w:p>
          <w:p>
            <w:pPr>
              <w:spacing w:after="160"/>
            </w:pPr>
            <w:r>
              <w:rPr>
                <w:rStyle w:val="row-content-rich-text"/>
              </w:rPr>
              <w:t xml:space="preserve">CODE 46   Paediatrics</w:t>
            </w:r>
          </w:p>
          <w:p>
            <w:pPr>
              <w:spacing w:after="160"/>
            </w:pPr>
            <w:r>
              <w:rPr>
                <w:rStyle w:val="row-content-rich-text"/>
              </w:rPr>
              <w:t xml:space="preserve">'Paediatrics' excludes neonatal or perinatal medicine and paediatric surgery.</w:t>
            </w:r>
          </w:p>
          <w:p>
            <w:pPr>
              <w:spacing w:after="160"/>
            </w:pPr>
            <w:r>
              <w:rPr>
                <w:rStyle w:val="row-content-rich-text"/>
              </w:rPr>
              <w:t xml:space="preserve">CODE 49   Pathology</w:t>
            </w:r>
          </w:p>
          <w:p>
            <w:pPr>
              <w:spacing w:after="160"/>
            </w:pPr>
            <w:r>
              <w:rPr>
                <w:rStyle w:val="row-content-rich-text"/>
              </w:rPr>
              <w:t xml:space="preserve">'Pathology' includes general pathology, anatomical pathology, chemical pathology, pathological haematology, pathological immunology and clinical microbiology.</w:t>
            </w:r>
          </w:p>
          <w:p>
            <w:pPr>
              <w:spacing w:after="160"/>
            </w:pPr>
            <w:r>
              <w:rPr>
                <w:rStyle w:val="row-content-rich-text"/>
              </w:rPr>
              <w:t xml:space="preserve">CODE 59   Respiratory and sleep medicine</w:t>
            </w:r>
          </w:p>
          <w:p>
            <w:pPr>
              <w:spacing w:after="160"/>
            </w:pPr>
            <w:r>
              <w:rPr>
                <w:rStyle w:val="row-content-rich-text"/>
              </w:rPr>
              <w:t xml:space="preserve">'Respiratory and sleep medicine' includes thoracic medicine.</w:t>
            </w:r>
          </w:p>
          <w:p>
            <w:pPr>
              <w:spacing w:after="160"/>
            </w:pPr>
            <w:r>
              <w:rPr>
                <w:rStyle w:val="row-content-rich-text"/>
              </w:rPr>
              <w:t xml:space="preserve">CODE 67   Other allied health (including complementary medicine)</w:t>
            </w:r>
          </w:p>
          <w:p>
            <w:pPr>
              <w:spacing w:after="160"/>
            </w:pPr>
            <w:r>
              <w:rPr>
                <w:rStyle w:val="row-content-rich-text"/>
              </w:rPr>
              <w:t xml:space="preserve">'Other allied health (including complementary medicine)' includes: acupuncturist, allergy and asthma consultant, alternative health services, audiologist, audiometrist, Chinese medicine therapist, chiropodist, dental hygienist, dental technician, drug and alcohol counsellor, hygiene consultant, naturopath, occupational health and safety practitioner, occupational therapist, optometrist, social worker, speech pathologist, speech therapist and therapeutic masseur.</w:t>
            </w:r>
          </w:p>
          <w:p>
            <w:pPr>
              <w:spacing w:after="160"/>
            </w:pPr>
            <w:r>
              <w:rPr>
                <w:rStyle w:val="row-content-rich-text"/>
              </w:rPr>
              <w:t xml:space="preserve">CODE 68   Other hospital-based medical practitioners</w:t>
            </w:r>
          </w:p>
          <w:p>
            <w:pPr>
              <w:spacing w:after="160"/>
            </w:pPr>
            <w:r>
              <w:rPr>
                <w:rStyle w:val="row-content-rich-text"/>
              </w:rPr>
              <w:t xml:space="preserve">'Other hospital-based medical practitioners' includes junior doctors, resident doctors, house officers, interns, and other clinicians who do not have a specialty.</w:t>
            </w:r>
          </w:p>
          <w:p>
            <w:pPr>
              <w:spacing w:after="160"/>
            </w:pPr>
            <w:r>
              <w:rPr>
                <w:rStyle w:val="row-content-rich-text"/>
              </w:rPr>
              <w:t xml:space="preserve">CODE 71   Anaesthesia</w:t>
            </w:r>
          </w:p>
          <w:p>
            <w:pPr>
              <w:spacing w:after="160"/>
            </w:pPr>
            <w:r>
              <w:rPr>
                <w:rStyle w:val="row-content-rich-text"/>
              </w:rPr>
              <w:t xml:space="preserve">'Anaesthesia' includes general anaesthesia, paediatric anaesthesia and intensive care anaesthesia.</w:t>
            </w:r>
          </w:p>
          <w:p>
            <w:pPr>
              <w:spacing w:after="160"/>
            </w:pPr>
            <w:r>
              <w:rPr>
                <w:rStyle w:val="row-content-rich-text"/>
              </w:rPr>
              <w:t xml:space="preserve">CODE 82   Pain medicine</w:t>
            </w:r>
          </w:p>
          <w:p>
            <w:pPr>
              <w:spacing w:after="160"/>
            </w:pPr>
            <w:r>
              <w:rPr>
                <w:rStyle w:val="row-content-rich-text"/>
              </w:rPr>
              <w:t xml:space="preserve">'Pain medicine' includes specialists in managing severe pain problems in the areas of acute pain, cancer pain and chronic pain (Faculty of Pain Medicine 2003).</w:t>
            </w:r>
          </w:p>
          <w:p>
            <w:pPr>
              <w:spacing w:after="160"/>
            </w:pPr>
            <w:r>
              <w:rPr>
                <w:rStyle w:val="row-content-rich-text"/>
              </w:rPr>
              <w:t xml:space="preserve">CODE 97   Not applicable</w:t>
            </w:r>
          </w:p>
          <w:p>
            <w:pPr>
              <w:spacing w:after="160"/>
            </w:pPr>
            <w:r>
              <w:rPr>
                <w:rStyle w:val="row-content-rich-text"/>
              </w:rPr>
              <w:t xml:space="preserve">'Not applicable' should be used where no clinical or medical administration staff were involved in the incident.</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Not stated/inadequately described should not be used when a claim is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aim of this list is to include all categories that might be of relevance to medical indemnity claims. The medical specialties included in this value domain are taken from the List of Australian Recognised Medical Specialties, a list approved by the Minister for Health and Ageing (AMC 2013) and from the lists of clinical specialties developed by various health authorities for use in their medical indemnity data collections.</w:t>
            </w:r>
          </w:p>
          <w:p>
            <w:pPr>
              <w:spacing w:after="160"/>
            </w:pPr>
            <w:r>
              <w:rPr>
                <w:rStyle w:val="row-content-rich-text"/>
              </w:rPr>
              <w:t xml:space="preserve">The categories of medical specialists align well between the Australian Prudential Regulation Authority (2006) National Claims and Policies Database (NCPD) and the Medical Indemnity National Collection (MINC). The NCPD specifications have separate codes for several allied health and complementary fields which are subsumed within the MINC category ‘Other allied health (including complementary medicine)'. In the NCPD, ‘student practitioner or intern’ is a separate category. The MINC codes students based on the speciality they are training in, and classifies interns with ‘Other hospital-based medical practitioners’ (AIHW 2013).</w:t>
            </w:r>
          </w:p>
          <w:p>
            <w:pPr/>
            <w:r>
              <w:rPr>
                <w:rStyle w:val="row-content-rich-text"/>
              </w:rPr>
              <w:t xml:space="preserve">Recording the specialty of the individual clinician at this data element does not imply that the individual was 'at fault'. These individuals may or may not be defendants in the medical indemnity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1dc467c1fb427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2013. Australia's medical indemnity claims 2011–12. Safety and quality of health care series no.14. Cat. no. HSE 137. Canberra: AIHW</w:t>
            </w:r>
          </w:p>
          <w:p>
            <w:pPr>
              <w:spacing w:after="160"/>
            </w:pPr>
            <w:r>
              <w:rPr>
                <w:rStyle w:val="row-content-rich-text"/>
              </w:rPr>
              <w:t xml:space="preserve">AMC (Australian Medical Council) 2013. The List of Australian Recognised Medical Specialties. Canberra. Viewed 17 July 2013, </w:t>
            </w:r>
            <w:hyperlink w:history="true" r:id="R1c48eecfac224aab">
              <w:r>
                <w:rPr>
                  <w:rStyle w:val="Hyperlink"/>
                </w:rPr>
                <w:t xml:space="preserve">http://www.amc.org.au/images/Recognition/</w:t>
              </w:r>
              <w:r>
                <w:br/>
              </w:r>
              <w:r>
                <w:rPr>
                  <w:rStyle w:val="row-content-rich-text"/>
                </w:rPr>
                <w:t xml:space="preserve">AMC-list-of-specialties.pdf</w:t>
              </w:r>
            </w:hyperlink>
          </w:p>
          <w:p>
            <w:pPr>
              <w:spacing w:after="160"/>
            </w:pPr>
            <w:r>
              <w:rPr>
                <w:rStyle w:val="row-content-rich-text"/>
              </w:rPr>
              <w:t xml:space="preserve">APRA (Australian Prudential Regulation Authority) 2006. Data specifications National Claims and Policies Database Document Number 3.1. Canberra: APRA</w:t>
            </w:r>
          </w:p>
          <w:p>
            <w:pPr>
              <w:spacing w:after="160"/>
            </w:pPr>
            <w:r>
              <w:rPr>
                <w:rStyle w:val="row-content-rich-text"/>
              </w:rPr>
              <w:t xml:space="preserve">Faculty of Pain Medicine 2003. Application for specialty recognition by the Faculty of Pain Medicine to the Australian Medical Council. Melbourne: Australian and New Zealand College of Anaesthetists. Viewed 25 May 2011, </w:t>
            </w:r>
            <w:hyperlink w:history="true" r:id="Ra822dd878ca54d93">
              <w:r>
                <w:rPr>
                  <w:rStyle w:val="Hyperlink"/>
                </w:rPr>
                <w:t xml:space="preserve">http://www.anzca.edu.au/fpm/news-and-reports/</w:t>
              </w:r>
              <w:r>
                <w:br/>
              </w:r>
              <w:r>
                <w:rPr>
                  <w:rStyle w:val="row-content-rich-text"/>
                </w:rPr>
                <w:t xml:space="preserve">FPM_AMCSub.pdf</w:t>
              </w:r>
            </w:hyperlink>
          </w:p>
          <w:p>
            <w:pPr/>
            <w:r>
              <w:rPr>
                <w:rStyle w:val="row-content-rich-text"/>
              </w:rPr>
              <w:t xml:space="preserve">RANZCOG (The Royal Australian and New Zealand College of Obstetricians and Gynaecologists) 2013. About the specialty. Viewed 17 July 2013, </w:t>
            </w:r>
            <w:hyperlink w:history="true" r:id="R5588a98d88db4e00">
              <w:r>
                <w:rPr>
                  <w:rStyle w:val="Hyperlink"/>
                </w:rPr>
                <w:t xml:space="preserve">http://www.ranzcog.edu.au/the-ranzcog/about-specialty.html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ba46ac00df4163">
              <w:r>
                <w:rPr>
                  <w:rStyle w:val="Hyperlink"/>
                </w:rPr>
                <w:t xml:space="preserve">Clinical specialties code N[N]</w:t>
              </w:r>
            </w:hyperlink>
          </w:p>
          <w:p>
            <w:pPr>
              <w:spacing w:before="0" w:after="0"/>
            </w:pPr>
            <w:r>
              <w:rPr>
                <w:rStyle w:val="row-content"/>
                <w:color w:val="244061"/>
              </w:rPr>
              <w:t xml:space="preserve">       </w:t>
            </w:r>
            <w:hyperlink w:history="true" r:id="Reb00db2fdabc4dce">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14f38f9ab344be">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49cabf434e144e21">
              <w:r>
                <w:rPr>
                  <w:rStyle w:val="Hyperlink"/>
                  <w:color w:val="244061"/>
                </w:rPr>
                <w:t xml:space="preserve">Health</w:t>
              </w:r>
            </w:hyperlink>
            <w:r>
              <w:rPr>
                <w:rStyle w:val="row-content"/>
                <w:color w:val="244061"/>
              </w:rPr>
              <w:t xml:space="preserve">, Standard 21/11/2013</w:t>
            </w:r>
          </w:p>
          <w:p>
            <w:r>
              <w:br/>
            </w:r>
            <w:hyperlink w:history="true" r:id="R1289b3af50104143">
              <w:r>
                <w:rPr>
                  <w:rStyle w:val="Hyperlink"/>
                </w:rPr>
                <w:t xml:space="preserve">Health-care incident—principal clinician specialty involved in health-care incident, clinical specialties code N[N]</w:t>
              </w:r>
            </w:hyperlink>
          </w:p>
          <w:p>
            <w:pPr>
              <w:spacing w:before="0" w:after="0"/>
            </w:pPr>
            <w:r>
              <w:rPr>
                <w:rStyle w:val="row-content"/>
                <w:color w:val="244061"/>
              </w:rPr>
              <w:t xml:space="preserve">       </w:t>
            </w:r>
            <w:hyperlink w:history="true" r:id="R94b14018f50a465d">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8ed5301c1863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532097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cf35471ae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5301c18634a5c" /><Relationship Type="http://schemas.openxmlformats.org/officeDocument/2006/relationships/header" Target="/word/header1.xml" Id="R6919cba6a7fc4da9" /><Relationship Type="http://schemas.openxmlformats.org/officeDocument/2006/relationships/settings" Target="/word/settings.xml" Id="R02a7acd8d46042ff" /><Relationship Type="http://schemas.openxmlformats.org/officeDocument/2006/relationships/styles" Target="/word/styles.xml" Id="R17ca0e8332214c02" /><Relationship Type="http://schemas.openxmlformats.org/officeDocument/2006/relationships/hyperlink" Target="https://meteor.aihw.gov.au/RegistrationAuthority/12" TargetMode="External" Id="R24adcdfab70147b5" /><Relationship Type="http://schemas.openxmlformats.org/officeDocument/2006/relationships/hyperlink" Target="https://meteor.aihw.gov.au/content/246013" TargetMode="External" Id="R421dc467c1fb427c" /><Relationship Type="http://schemas.openxmlformats.org/officeDocument/2006/relationships/hyperlink" Target="http://www.amc.org.au/images/Recognition/AMC-list-of-specialties.pdf" TargetMode="External" Id="R1c48eecfac224aab" /><Relationship Type="http://schemas.openxmlformats.org/officeDocument/2006/relationships/hyperlink" Target="http://www.anzca.edu.au/fpm/news-and-reports/FPM_AMCSub.pdf" TargetMode="External" Id="Ra822dd878ca54d93" /><Relationship Type="http://schemas.openxmlformats.org/officeDocument/2006/relationships/hyperlink" Target="http://www.ranzcog.edu.au/the-ranzcog/about-specialty.html" TargetMode="External" Id="R5588a98d88db4e00" /><Relationship Type="http://schemas.openxmlformats.org/officeDocument/2006/relationships/hyperlink" Target="https://meteor.aihw.gov.au/content/329673" TargetMode="External" Id="R3cba46ac00df4163" /><Relationship Type="http://schemas.openxmlformats.org/officeDocument/2006/relationships/hyperlink" Target="https://meteor.aihw.gov.au/RegistrationAuthority/12" TargetMode="External" Id="Reb00db2fdabc4dce" /><Relationship Type="http://schemas.openxmlformats.org/officeDocument/2006/relationships/hyperlink" Target="https://meteor.aihw.gov.au/content/532135" TargetMode="External" Id="R5a14f38f9ab344be" /><Relationship Type="http://schemas.openxmlformats.org/officeDocument/2006/relationships/hyperlink" Target="https://meteor.aihw.gov.au/RegistrationAuthority/12" TargetMode="External" Id="R49cabf434e144e21" /><Relationship Type="http://schemas.openxmlformats.org/officeDocument/2006/relationships/hyperlink" Target="https://meteor.aihw.gov.au/content/532137" TargetMode="External" Id="R1289b3af50104143" /><Relationship Type="http://schemas.openxmlformats.org/officeDocument/2006/relationships/hyperlink" Target="https://meteor.aihw.gov.au/RegistrationAuthority/12" TargetMode="External" Id="R94b14018f50a465d" /></Relationships>
</file>

<file path=word/_rels/header1.xml.rels>&#65279;<?xml version="1.0" encoding="utf-8"?><Relationships xmlns="http://schemas.openxmlformats.org/package/2006/relationships"><Relationship Type="http://schemas.openxmlformats.org/officeDocument/2006/relationships/image" Target="/media/image.png" Id="R1b6cf35471ae47f7" /></Relationships>
</file>