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e96bafb28464c"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1739ba0b6465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f988c439b4dae">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c01e07b1f4bb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c43a5e018443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d7c36eb06746fb">
              <w:r>
                <w:rPr>
                  <w:rStyle w:val="Hyperlink"/>
                </w:rPr>
                <w:t xml:space="preserve">Sedation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b044fc671a4281">
              <w:r>
                <w:rPr>
                  <w:rStyle w:val="Hyperlink"/>
                </w:rPr>
                <w:t xml:space="preserve">Sedation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bf70221444911">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9869a9e2758d49d2">
              <w:r>
                <w:rPr>
                  <w:rStyle w:val="Hyperlink"/>
                </w:rPr>
                <w:t xml:space="preserve">www.anzca.edu.au/resources/professional-documents/documents/</w:t>
              </w:r>
              <w:r>
                <w:br/>
              </w:r>
              <w:r>
                <w:rPr>
                  <w:rStyle w:val="row-content-rich-text"/>
                </w:rPr>
                <w:t xml:space="preserve">professional-standards/pdf-files/PS9-2010.pdf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ANZCA standards (ANZCA 2010).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94e2eef18d9e4290">
              <w:r>
                <w:rPr>
                  <w:rStyle w:val="Hyperlink"/>
                </w:rPr>
                <w:t xml:space="preserve">www.anzca.edu.au/resources/professional-documents/documents/</w:t>
              </w:r>
              <w:r>
                <w:br/>
              </w:r>
              <w:r>
                <w:rPr>
                  <w:rStyle w:val="row-content-rich-text"/>
                </w:rPr>
                <w:t xml:space="preserve">professional-standards/pdf-files/PS9-2010.pdf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a09a734e1347f2">
              <w:r>
                <w:rPr>
                  <w:rStyle w:val="Hyperlink"/>
                </w:rPr>
                <w:t xml:space="preserve">Patient—sedation type, code N</w:t>
              </w:r>
            </w:hyperlink>
          </w:p>
          <w:p>
            <w:pPr>
              <w:spacing w:before="0" w:after="0"/>
            </w:pPr>
            <w:r>
              <w:rPr>
                <w:rStyle w:val="row-content"/>
                <w:color w:val="244061"/>
              </w:rPr>
              <w:t xml:space="preserve">       </w:t>
            </w:r>
            <w:hyperlink w:history="true" r:id="R1e10add02c604308">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290e7efb018a4ea0">
              <w:r>
                <w:rPr>
                  <w:rStyle w:val="Hyperlink"/>
                </w:rPr>
                <w:t xml:space="preserve">Patient—sedation received indicator, yes/no code N</w:t>
              </w:r>
            </w:hyperlink>
          </w:p>
          <w:p>
            <w:pPr>
              <w:spacing w:before="0" w:after="0"/>
            </w:pPr>
            <w:r>
              <w:rPr>
                <w:rStyle w:val="row-content"/>
                <w:color w:val="244061"/>
              </w:rPr>
              <w:t xml:space="preserve">       </w:t>
            </w:r>
            <w:hyperlink w:history="true" r:id="Rdc0f4333bf134914">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bde857532f74eb7">
              <w:r>
                <w:rPr>
                  <w:rStyle w:val="Hyperlink"/>
                </w:rPr>
                <w:t xml:space="preserve">Patient—sedation received indicator, yes/no code N</w:t>
              </w:r>
            </w:hyperlink>
          </w:p>
          <w:p>
            <w:pPr>
              <w:spacing w:before="0" w:after="0"/>
            </w:pPr>
            <w:r>
              <w:rPr>
                <w:rStyle w:val="row-content"/>
                <w:color w:val="244061"/>
              </w:rPr>
              <w:t xml:space="preserve">       </w:t>
            </w:r>
            <w:hyperlink w:history="true" r:id="R57dee33cfce54e7e">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55f4da0814651">
              <w:r>
                <w:rPr>
                  <w:rStyle w:val="Hyperlink"/>
                </w:rPr>
                <w:t xml:space="preserve">Bowel cancer diagnostic assessment cluster</w:t>
              </w:r>
            </w:hyperlink>
          </w:p>
          <w:p>
            <w:pPr>
              <w:spacing w:before="0" w:after="0"/>
            </w:pPr>
            <w:r>
              <w:rPr>
                <w:rStyle w:val="row-content"/>
                <w:color w:val="244061"/>
              </w:rPr>
              <w:t xml:space="preserve">       </w:t>
            </w:r>
            <w:hyperlink w:history="true" r:id="R4f8602ce923d4b88">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p>
          <w:p>
            <w:hyperlink w:history="true" r:id="Rac0860a953ae46a0">
              <w:r>
                <w:rPr>
                  <w:rStyle w:val="Hyperlink"/>
                </w:rPr>
                <w:t xml:space="preserve">Patient—sedation received indicator, yes/no code 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f9c88a7e6b15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f7be6ed4a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88a7e6b154815" /><Relationship Type="http://schemas.openxmlformats.org/officeDocument/2006/relationships/header" Target="/word/header1.xml" Id="R75f4007a710c4320" /><Relationship Type="http://schemas.openxmlformats.org/officeDocument/2006/relationships/settings" Target="/word/settings.xml" Id="R9cf2d43815d54c39" /><Relationship Type="http://schemas.openxmlformats.org/officeDocument/2006/relationships/styles" Target="/word/styles.xml" Id="Rdeabd3dc2d8e4e97" /><Relationship Type="http://schemas.openxmlformats.org/officeDocument/2006/relationships/hyperlink" Target="https://meteor.aihw.gov.au/RegistrationAuthority/12" TargetMode="External" Id="R19c1739ba0b64657" /><Relationship Type="http://schemas.openxmlformats.org/officeDocument/2006/relationships/hyperlink" Target="https://meteor.aihw.gov.au/content/530116" TargetMode="External" Id="R990f988c439b4dae" /><Relationship Type="http://schemas.openxmlformats.org/officeDocument/2006/relationships/hyperlink" Target="https://meteor.aihw.gov.au/RegistrationAuthority/12" TargetMode="External" Id="Rc0dc01e07b1f4bb5" /><Relationship Type="http://schemas.openxmlformats.org/officeDocument/2006/relationships/hyperlink" Target="https://meteor.aihw.gov.au/content/268959" TargetMode="External" Id="R1bcc43a5e0184436" /><Relationship Type="http://schemas.openxmlformats.org/officeDocument/2006/relationships/hyperlink" Target="https://meteor.aihw.gov.au/content/530113" TargetMode="External" Id="R8ed7c36eb06746fb" /><Relationship Type="http://schemas.openxmlformats.org/officeDocument/2006/relationships/hyperlink" Target="https://meteor.aihw.gov.au/content/530111" TargetMode="External" Id="R4db044fc671a4281" /><Relationship Type="http://schemas.openxmlformats.org/officeDocument/2006/relationships/hyperlink" Target="https://meteor.aihw.gov.au/RegistrationAuthority/12" TargetMode="External" Id="Rc8cbf70221444911" /><Relationship Type="http://schemas.openxmlformats.org/officeDocument/2006/relationships/hyperlink" Target="http://www.anzca.edu.au/resources/professional-documents/documents/professional-standards/pdf-files/PS9-2010.pdf" TargetMode="External" Id="R9869a9e2758d49d2" /><Relationship Type="http://schemas.openxmlformats.org/officeDocument/2006/relationships/hyperlink" Target="http://www.anzca.edu.au/resources/professional-documents/documents/professional-standards/pdf-files/PS9-2010.pdf" TargetMode="External" Id="R94e2eef18d9e4290" /><Relationship Type="http://schemas.openxmlformats.org/officeDocument/2006/relationships/hyperlink" Target="https://meteor.aihw.gov.au/content/695928" TargetMode="External" Id="Re9a09a734e1347f2" /><Relationship Type="http://schemas.openxmlformats.org/officeDocument/2006/relationships/hyperlink" Target="https://meteor.aihw.gov.au/RegistrationAuthority/12" TargetMode="External" Id="R1e10add02c604308" /><Relationship Type="http://schemas.openxmlformats.org/officeDocument/2006/relationships/hyperlink" Target="https://meteor.aihw.gov.au/content/563828" TargetMode="External" Id="R290e7efb018a4ea0" /><Relationship Type="http://schemas.openxmlformats.org/officeDocument/2006/relationships/hyperlink" Target="https://meteor.aihw.gov.au/RegistrationAuthority/12" TargetMode="External" Id="Rdc0f4333bf134914" /><Relationship Type="http://schemas.openxmlformats.org/officeDocument/2006/relationships/hyperlink" Target="https://meteor.aihw.gov.au/content/695923" TargetMode="External" Id="Rebde857532f74eb7" /><Relationship Type="http://schemas.openxmlformats.org/officeDocument/2006/relationships/hyperlink" Target="https://meteor.aihw.gov.au/RegistrationAuthority/12" TargetMode="External" Id="R57dee33cfce54e7e" /><Relationship Type="http://schemas.openxmlformats.org/officeDocument/2006/relationships/hyperlink" Target="https://meteor.aihw.gov.au/content/563761" TargetMode="External" Id="R25055f4da0814651" /><Relationship Type="http://schemas.openxmlformats.org/officeDocument/2006/relationships/hyperlink" Target="https://meteor.aihw.gov.au/RegistrationAuthority/12" TargetMode="External" Id="R4f8602ce923d4b88" /><Relationship Type="http://schemas.openxmlformats.org/officeDocument/2006/relationships/hyperlink" Target="https://meteor.aihw.gov.au/content/563828" TargetMode="External" Id="Rac0860a953ae46a0" /></Relationships>
</file>

<file path=word/_rels/header1.xml.rels>&#65279;<?xml version="1.0" encoding="utf-8"?><Relationships xmlns="http://schemas.openxmlformats.org/package/2006/relationships"><Relationship Type="http://schemas.openxmlformats.org/officeDocument/2006/relationships/image" Target="/media/image.png" Id="Rdb1f7be6ed4a49bd" /></Relationships>
</file>