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13bdc8abd048d9"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Outpatient Care Database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Outpatient Care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3e31fe6de42a7">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Outpatient Care Database for 2011–12.</w:t>
            </w:r>
          </w:p>
          <w:p>
            <w:pPr>
              <w:spacing w:after="160"/>
            </w:pPr>
            <w:r>
              <w:rPr>
                <w:rStyle w:val="row-content-rich-text"/>
              </w:rPr>
              <w:t xml:space="preserve">Summary of key issues</w:t>
            </w:r>
          </w:p>
          <w:p>
            <w:pPr>
              <w:spacing w:after="160"/>
            </w:pPr>
            <w:r>
              <w:rPr>
                <w:rStyle w:val="row-content-rich-text"/>
              </w:rPr>
              <w:t xml:space="preserve">•         While the scope of the National Outpatient Care Database (NOCD) covers public hospitals in public hospital peer groups A and B (Principal referral and specialist women’s and children’s and Large hospitals), data were also provided by some states and territories for hospitals in peer groups other than A and B.</w:t>
            </w:r>
          </w:p>
          <w:p>
            <w:pPr>
              <w:spacing w:after="160"/>
            </w:pPr>
            <w:r>
              <w:rPr>
                <w:rStyle w:val="row-content-rich-text"/>
              </w:rPr>
              <w:t xml:space="preserve">•         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         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p>
            <w:pPr>
              <w:spacing w:after="160"/>
            </w:pPr>
            <w:r>
              <w:rPr>
                <w:rStyle w:val="row-content-rich-text"/>
              </w:rPr>
              <w:t xml:space="preserve">•         Over the 2 reporting periods 2010–11 and 2011–12, the reporting of outpatient clinic care for some jurisdictions was changed in order to align with the reporting requirements for Activity Based Funding. These changes included: the discontinuation of reporting for some activity; the commencement of reporting for some activity; the re-categorisation of some clinics according to the Tier 2 clinics structure (IHPA 2011). Therefore, data for 2010–11 and 2011–12 may not be comparable with data reported for previous years.</w:t>
            </w:r>
          </w:p>
          <w:p>
            <w:pPr>
              <w:spacing w:after="160"/>
            </w:pPr>
            <w:r>
              <w:rPr>
                <w:rStyle w:val="row-content-rich-text"/>
              </w:rPr>
              <w:t xml:space="preserve">•         Data supply issues in Victoria resulted in significant under-reporting of non-admitted occasions of service in 2011–12 for Dental services. Consequently, 2011–12 data for Victoria are not directly comparable with previous years.</w:t>
            </w:r>
          </w:p>
          <w:p>
            <w:pPr>
              <w:spacing w:after="160"/>
            </w:pPr>
            <w:r>
              <w:rPr>
                <w:rStyle w:val="row-content-rich-text"/>
              </w:rPr>
              <w:t xml:space="preserve">•         For 2010-11 and 2011-12 Tasmania was able to exclude counts of outpatient occasions of service provided at public hospitals by private specialists.  In previous years, these were included in Tasmania’s public hospital counts.</w:t>
            </w:r>
          </w:p>
          <w:p>
            <w:pPr>
              <w:spacing w:after="160"/>
            </w:pPr>
            <w:r>
              <w:rPr>
                <w:rStyle w:val="row-content-rich-text"/>
              </w:rPr>
              <w:t xml:space="preserve">•         For 2011–12, Tasmania were not able to provide outpatient care data for one Principal referral hospital, which reported about 134,000 occasions of service to the NOCD in 2010–11.</w:t>
            </w:r>
          </w:p>
          <w:p>
            <w:pPr>
              <w:spacing w:after="160"/>
            </w:pPr>
            <w:r>
              <w:rPr>
                <w:rStyle w:val="row-content-rich-text"/>
              </w:rPr>
              <w:t xml:space="preserve">Description       </w:t>
            </w:r>
          </w:p>
          <w:p>
            <w:pPr>
              <w:spacing w:after="160"/>
            </w:pPr>
            <w:r>
              <w:rPr>
                <w:rStyle w:val="row-content-rich-text"/>
              </w:rPr>
              <w:t xml:space="preserve">The National Outpatient Care Database (NOCD) includes aggregate data on services provided to non-admitted, non-emergency patients registered for care in outpatient clinics of public hospitals. The data supplied are based on the National Minimum Data Set for Outpatient care (OPC NMDS).</w:t>
            </w:r>
          </w:p>
          <w:p>
            <w:pPr>
              <w:spacing w:after="160"/>
            </w:pPr>
            <w:r>
              <w:rPr>
                <w:rStyle w:val="row-content-rich-text"/>
              </w:rPr>
              <w:t xml:space="preserve">While the scope of the NOCD covers public hospitals in public hospital peer groups A or B (Principal referral and specialist women’s and children’s hospitals or Large hospitals) in Australian hospital statistics of the previous year, data were also provided by some states and territories for hospitals in peer groups other than A and B.</w:t>
            </w:r>
          </w:p>
          <w:p>
            <w:pPr>
              <w:spacing w:after="160"/>
            </w:pPr>
            <w:r>
              <w:rPr>
                <w:rStyle w:val="row-content-rich-text"/>
              </w:rPr>
              <w:t xml:space="preserve">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The NOCD includes data on the type of outpatient clinic and counts of individual and group occasions of service.</w:t>
            </w:r>
          </w:p>
          <w:p>
            <w:pPr>
              <w:spacing w:after="160"/>
            </w:pPr>
            <w:r>
              <w:rPr>
                <w:rStyle w:val="row-content-rich-text"/>
              </w:rPr>
              <w:t xml:space="preserve">The database includes data for each year from 2005–06 to 2011–12.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      </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NOCD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        </w:t>
            </w:r>
          </w:p>
          <w:p>
            <w:pPr>
              <w:spacing w:after="160"/>
            </w:pPr>
            <w:r>
              <w:rPr>
                <w:rStyle w:val="row-content-rich-text"/>
              </w:rPr>
              <w:t xml:space="preserve">The reference period for this data set is 2011–12. The data set includes records for Outpatient care occasions of service provided between 1 July 2011 and 30 June 2012.</w:t>
            </w:r>
          </w:p>
          <w:p>
            <w:pPr/>
            <w:r>
              <w:rPr>
                <w:rStyle w:val="row-content-rich-text"/>
              </w:rPr>
              <w:t xml:space="preserve">The agreed date for supply of a first version of data (based on best efforts) was 30 November 2012. Some states and territories provided a first version of the data to the AIHW at the end of November 2012 and all had provided their first data by 24 December 2012. All states had provided final data by 20 March 2013. The data were reported on 19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     </w:t>
            </w:r>
          </w:p>
          <w:p>
            <w:pPr>
              <w:spacing w:after="160"/>
            </w:pPr>
            <w:r>
              <w:rPr>
                <w:rStyle w:val="row-content-rich-text"/>
              </w:rPr>
              <w:t xml:space="preserve">The AIHW provides a variety of products that draw upon the NOCD.</w:t>
            </w:r>
          </w:p>
          <w:p>
            <w:pPr/>
            <w:r>
              <w:rPr>
                <w:rStyle w:val="row-content-rich-text"/>
              </w:rPr>
              <w:t xml:space="preserve">The Australian hospital statistics suite of products with associated Excel tables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  </w:t>
            </w:r>
          </w:p>
          <w:p>
            <w:pPr>
              <w:spacing w:after="160"/>
            </w:pPr>
            <w:r>
              <w:rPr>
                <w:rStyle w:val="row-content-rich-text"/>
              </w:rPr>
              <w:t xml:space="preserve">Metadata information for the OPC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         </w:t>
            </w:r>
          </w:p>
          <w:p>
            <w:pPr>
              <w:spacing w:after="160"/>
            </w:pPr>
            <w:r>
              <w:rPr>
                <w:rStyle w:val="row-content-rich-text"/>
              </w:rPr>
              <w:t xml:space="preserve">The NOCD provides information for services provided to non-admitted, non-emergency patients registered for care in outpatient clinics of public hospitals that were classified as either peer group A or B (Principal referral and specialist women’s and children’s hospitals or Large hospitals). Data were also provided by some states and territories for hospitals that were not classified as either peer group A or B hospitals.</w:t>
            </w:r>
          </w:p>
          <w:p>
            <w:pPr>
              <w:spacing w:after="160"/>
            </w:pPr>
            <w:r>
              <w:rPr>
                <w:rStyle w:val="row-content-rich-text"/>
              </w:rPr>
              <w:t xml:space="preserve">The data in the NOCD are not necessarily representative of the hospitals not included in the NOCD. Hospitals not included do not necessarily have outpatient clinics that are equivalent to those in hospitals in peer groups A and B.</w:t>
            </w:r>
          </w:p>
          <w:p>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which results in some activity reported to the NOCD in some jurisdictions reported to the National Hospital Morbidity Database in other jurisdictions. There is variation in the types of services provided for non-admitted patients in a hospital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          </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States and territories may differ in the extent to which outpatient services are provided in non-hospital settings (such as community health centres) which are beyond the scope of the NOCD.</w:t>
            </w:r>
          </w:p>
          <w:p>
            <w:pPr>
              <w:spacing w:after="160"/>
            </w:pPr>
            <w:r>
              <w:rPr>
                <w:rStyle w:val="row-content-rich-text"/>
              </w:rPr>
              <w:t xml:space="preserve">Although there are national standards for data on outpatient care, statistics may be affected by state and territory variations in admission practices, and in the allocation of outpatient services to clinics.</w:t>
            </w:r>
          </w:p>
          <w:p>
            <w:pPr/>
            <w:r>
              <w:rPr>
                <w:rStyle w:val="row-content-rich-text"/>
              </w:rPr>
              <w:t xml:space="preserve">For Western Australia, counts of outpatient group sessions reported to the NOCD reflect the number of individuals who attended group sessions. The data for Western Australian group sessions are therefore not directly comparable with the data provided for group sessions presented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        </w:t>
            </w:r>
          </w:p>
          <w:p>
            <w:pPr>
              <w:spacing w:after="160"/>
            </w:pPr>
            <w:r>
              <w:rPr>
                <w:rStyle w:val="row-content-rich-text"/>
              </w:rPr>
              <w:t xml:space="preserve">The NOCD includes data for each year from 2005–06 to 2011–12</w:t>
            </w:r>
          </w:p>
          <w:p>
            <w:pPr>
              <w:spacing w:after="160"/>
            </w:pPr>
            <w:r>
              <w:rPr>
                <w:rStyle w:val="row-content-rich-text"/>
              </w:rPr>
              <w:t xml:space="preserve">The data reported to the NOCD is consistent with the numbers of outpatient occasions of services reported to the NPHED for the same reference year. For 2011–12, the proportion of outpatient occasions of service reported to the NOCD was estimated as 98% for public hospitals in peer groups A and B and 79% for all public hospitals.</w:t>
            </w:r>
          </w:p>
          <w:p>
            <w:pPr>
              <w:spacing w:after="160"/>
            </w:pPr>
            <w:r>
              <w:rPr>
                <w:rStyle w:val="row-content-rich-text"/>
              </w:rPr>
              <w:t xml:space="preserve">Time series presentations may be affected by changes in the number of hospitals reported to the collection, changes in coverage and changes in clinic categorisation:</w:t>
            </w:r>
          </w:p>
          <w:p>
            <w:pPr>
              <w:spacing w:after="160"/>
            </w:pPr>
            <w:r>
              <w:rPr>
                <w:rStyle w:val="row-content-rich-text"/>
              </w:rPr>
              <w:t xml:space="preserve">•         The number of hospitals in peer groups A and B included in the NOCD increased from 120 in 2005–06 to 137 in 2011–12.</w:t>
            </w:r>
          </w:p>
          <w:p>
            <w:pPr>
              <w:spacing w:after="160"/>
            </w:pPr>
            <w:r>
              <w:rPr>
                <w:rStyle w:val="row-content-rich-text"/>
              </w:rPr>
              <w:t xml:space="preserve">•         Over the 2 reporting periods 2010–11 and 2011–12, the reporting of outpatient clinic care for some jurisdictions was changed in order to align with the reporting requirements for Activity Based Funding. These changes included: the discontinuation of reporting for some activity; the commencement of reporting for some activity; the re-mapping of some clinics by states and territories according to the Tier 2 clinics structure (IHPA 2011), with consequential changes in activity counts against clinic types. Therefore, data for 2010–11 and 2011–12 may not be comparable with data reported for previous years.</w:t>
            </w:r>
          </w:p>
          <w:p>
            <w:pPr>
              <w:spacing w:after="160"/>
            </w:pPr>
            <w:r>
              <w:rPr>
                <w:rStyle w:val="row-content-rich-text"/>
              </w:rPr>
              <w:t xml:space="preserve">•         Data supply issues in Victoria have resulted in substantial under-reporting of non-admitted occasions of service in 2011–12 for Dental services. Consequently, 2011–12 data for Victoria are not directly comparable with previous years.</w:t>
            </w:r>
          </w:p>
          <w:p>
            <w:pPr>
              <w:spacing w:after="160"/>
            </w:pPr>
            <w:r>
              <w:rPr>
                <w:rStyle w:val="row-content-rich-text"/>
              </w:rPr>
              <w:t xml:space="preserve">•         For 2011–12, Tasmania were not able to provide outpatient care data for one Principal referral hospital, which reported about 134,000 occasions of service to the NOCD in 2010–11.</w:t>
            </w:r>
          </w:p>
          <w:p>
            <w:pPr/>
            <w:r>
              <w:rPr>
                <w:rStyle w:val="row-content-rich-text"/>
              </w:rPr>
              <w:t xml:space="preserve">•         From 2010–11, Tasmania was able to exclude counts of outpatient occasions of service provided at public hospitals by private specialists. In previous years, these were included in Tasmania’s outpatient care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References       </w:t>
            </w:r>
          </w:p>
          <w:p>
            <w:pPr/>
            <w:r>
              <w:rPr>
                <w:rStyle w:val="row-content-rich-text"/>
              </w:rPr>
              <w:t xml:space="preserve">IHPA (Independent Hospitals Pricing Authority) 2011. Tier 2 Outpatient Clinic Definitions, Version 1.0.2, 28th October 2011. Viewed 12 March 2013, &lt;http://www.ihpa.gov.au/healthdata&gt;.</w:t>
            </w:r>
          </w:p>
        </w:tc>
      </w:tr>
    </w:tbl>
    <w:p>
      <w:r>
        <w:br/>
      </w:r>
    </w:p>
    <w:sectPr>
      <w:footerReference xmlns:r="http://schemas.openxmlformats.org/officeDocument/2006/relationships" w:type="default" r:id="R0fba86c33cc4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e1bd1df67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a86c33cc440ae" /><Relationship Type="http://schemas.openxmlformats.org/officeDocument/2006/relationships/header" Target="/word/header1.xml" Id="Reca23dc893284c87" /><Relationship Type="http://schemas.openxmlformats.org/officeDocument/2006/relationships/settings" Target="/word/settings.xml" Id="Rac5394ba48b94a4b" /><Relationship Type="http://schemas.openxmlformats.org/officeDocument/2006/relationships/styles" Target="/word/styles.xml" Id="Ree2cc9be10604e61" /><Relationship Type="http://schemas.openxmlformats.org/officeDocument/2006/relationships/hyperlink" Target="https://meteor.aihw.gov.au/RegistrationAuthority/5" TargetMode="External" Id="R56d3e31fe6de42a7" /></Relationships>
</file>

<file path=word/_rels/header1.xml.rels>&#65279;<?xml version="1.0" encoding="utf-8"?><Relationships xmlns="http://schemas.openxmlformats.org/package/2006/relationships"><Relationship Type="http://schemas.openxmlformats.org/officeDocument/2006/relationships/image" Target="/media/image.png" Id="Re55e1bd1df674de6" /></Relationships>
</file>