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e5db719f04473"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c89079a604d35">
              <w:r>
                <w:rPr>
                  <w:rStyle w:val="Hyperlink"/>
                  <w:color w:val="244061"/>
                </w:rPr>
                <w:t xml:space="preserve">AIHW Data Quality Statements</w:t>
              </w:r>
            </w:hyperlink>
            <w:r>
              <w:rPr>
                <w:rStyle w:val="row-content"/>
                <w:color w:val="244061"/>
              </w:rPr>
              <w:t xml:space="preserve">, Standard 01/07/2013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Data were reported to the AIHW for all MINC (Private Sector) claims in scope for 2011–12. </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Medical practitioners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 Claims made against private hospitals covered by private hospital insurance arrangements are not included in the collection.</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patient at the centre of the alleged health-care incident</w:t>
            </w:r>
          </w:p>
          <w:p>
            <w:pPr>
              <w:pStyle w:val="ListParagraph"/>
              <w:numPr>
                <w:ilvl w:val="0"/>
                <w:numId w:val="2"/>
              </w:numPr>
            </w:pPr>
            <w:r>
              <w:rPr>
                <w:rStyle w:val="row-content-rich-text"/>
              </w:rPr>
              <w:t xml:space="preserve">information on the alleged incident such as a description of what allegedly went wrong and the clinician specialties involved</w:t>
            </w:r>
          </w:p>
          <w:p>
            <w:pPr>
              <w:pStyle w:val="ListParagraph"/>
              <w:numPr>
                <w:ilvl w:val="0"/>
                <w:numId w:val="2"/>
              </w:numPr>
            </w:pPr>
            <w:r>
              <w:rPr>
                <w:rStyle w:val="row-content-rich-text"/>
              </w:rPr>
              <w:t xml:space="preserve">the alleged harm to the patient</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for closed claims, when and how they were closed, and the cost of closing the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28ca067e30af4cc5">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spacing w:after="160"/>
            </w:pPr>
            <w:r>
              <w:rPr>
                <w:rStyle w:val="row-content-rich-text"/>
              </w:rPr>
              <w:t xml:space="preserve">The Medical Indemnity National Collection Coordinating Committee (MINC CC) oversees the AIHW’s collection and use of the MINC (Private Sector) data. The MINC CC includes representatives from the state and territory health authorities, the Australian Government Department of Health and Ageing, the AIHW and each of the MIIs.</w:t>
            </w:r>
          </w:p>
          <w:p>
            <w:pPr/>
            <w:r>
              <w:rPr>
                <w:rStyle w:val="row-content-rich-text"/>
              </w:rPr>
              <w:t xml:space="preserve">The MINC (Private Sector) includes data for each financial year from 2005–06 to 2011–12. The 2011–12 data cover the period from 1 July 2011 to 30 June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2011–12. MIIs and/or their reporting agent Insurance Statistics Australia (ISA) provided 2011–12 private sector data over the period November to December 2012. This was in compliance with the MIIs’ agreement to provide the AIHW with annual claims data on negotiated request.</w:t>
            </w:r>
          </w:p>
          <w:p>
            <w:pPr/>
            <w:r>
              <w:rPr>
                <w:rStyle w:val="row-content-rich-text"/>
              </w:rPr>
              <w:t xml:space="preserve">The data were originally planned for publication in April 2013 and were published in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2011–12</w:t>
            </w:r>
            <w:r>
              <w:rPr>
                <w:rStyle w:val="row-content-rich-text"/>
              </w:rPr>
              <w:t xml:space="preserve"> includes two chapters that report on private sector claims combined with public sector claims. This follows the format for the MINC reports established for the 2010–11 data. There are also five previous AIHW reports on combined public and private sector claims data covering the years 2005–06 to 2009–10. All are available without charge on the AIHW website. Links to the reports are listed sequentially at:</w:t>
            </w:r>
            <w:r>
              <w:br/>
            </w:r>
            <w:hyperlink w:history="true" r:id="Reb006cdc882a499e">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combined public and private sector medical indemnity claims data may be found in ‘Appendix A: MINC data items and key terms’ of </w:t>
            </w:r>
            <w:r>
              <w:rPr>
                <w:rStyle w:val="row-content-rich-text"/>
                <w:i/>
              </w:rPr>
              <w:t xml:space="preserve">Australia’s medical indemnity claims 2011–12</w:t>
            </w:r>
            <w:r>
              <w:rPr>
                <w:rStyle w:val="row-content-rich-text"/>
              </w:rPr>
              <w:t xml:space="preserve">. The information specifies how the public and private sector code values relate to each other and any areas where there is not complete agreement between the two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information on medical indemnity claims against individual practitioners who were covered by insurance with an MII for the purposes of the claim. In 2011–12,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at the centre of the health-care incident that is the basis for the claim, and who may have suffered, or did suffer, harm or other loss as a result. The patient may or may not be a claimant—that is, the person/s pursuing the claim. Where the MII is investigating a case reported by an insured clinician, there may be no claimant. Information is not collected on the claimant as such.</w:t>
            </w:r>
          </w:p>
          <w:p>
            <w:pPr>
              <w:spacing w:after="160"/>
            </w:pPr>
            <w:r>
              <w:rPr>
                <w:rStyle w:val="row-content-rich-text"/>
              </w:rPr>
              <w:t xml:space="preserve">The MINC (Private Sector) 2011–12 data includes new claims in scope that have arisen between 1 July 2011 and 30 June 2012, previously closed claims that were reopened during the year, and ongoing claims from the previous year.</w:t>
            </w:r>
          </w:p>
          <w:p>
            <w:pPr/>
            <w:r>
              <w:rPr>
                <w:rStyle w:val="row-content-rich-text"/>
              </w:rPr>
              <w:t xml:space="preserve">No information on patients’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a combination of unit record and aggregated claims data. The MIIs can elect to submit their data either directly to the AIHW, as unit records or as aggregated data in a pre-publication format, or through ISA. ISA provides MII data to the AIHW as aggregated data.</w:t>
            </w:r>
          </w:p>
          <w:p>
            <w:pPr>
              <w:spacing w:after="160"/>
            </w:pPr>
            <w:r>
              <w:rPr>
                <w:rStyle w:val="row-content-rich-text"/>
              </w:rPr>
              <w:t xml:space="preserve">With the data items reported by the AIHW for the public and private sectors combined, the alignment between the private and public sector data is not always exact (see the section on Coherence, below). For instance, data collected by MIIs on </w:t>
            </w:r>
            <w:r>
              <w:rPr>
                <w:rStyle w:val="row-content-rich-text"/>
                <w:i/>
              </w:rPr>
              <w:t xml:space="preserve">Faulty/contaminated equipment</w:t>
            </w:r>
            <w:r>
              <w:rPr>
                <w:rStyle w:val="row-content-rich-text"/>
              </w:rPr>
              <w:t xml:space="preserve"> is utilised as their data for the MINC </w:t>
            </w:r>
            <w:r>
              <w:rPr>
                <w:rStyle w:val="row-content-rich-text"/>
                <w:i/>
              </w:rPr>
              <w:t xml:space="preserve">Device failure</w:t>
            </w:r>
            <w:r>
              <w:rPr>
                <w:rStyle w:val="row-content-rich-text"/>
              </w:rPr>
              <w:t xml:space="preserve"> category (‘incident/allegation type’).</w:t>
            </w:r>
          </w:p>
          <w:p>
            <w:pPr>
              <w:spacing w:after="160"/>
            </w:pPr>
            <w:r>
              <w:rPr>
                <w:rStyle w:val="row-content-rich-text"/>
              </w:rPr>
              <w:t xml:space="preserve">With the data items not included in the MINC reports, the MII data submitted as unit records vary in their accordance with the specifications of the MINC (Public Sector). For instance, information on ‘clinical service context’ might not be collected by an MII and so cannot be provided.</w:t>
            </w:r>
          </w:p>
          <w:p>
            <w:pPr>
              <w:spacing w:after="160"/>
            </w:pPr>
            <w:r>
              <w:rPr>
                <w:rStyle w:val="row-content-rich-text"/>
              </w:rPr>
              <w:t xml:space="preserve">Data providers are primarily responsible for the quality of the data they provide. However, the AIHW undertakes extensive validations on receipt of data.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Some data items have relatively high </w:t>
            </w:r>
            <w:r>
              <w:rPr>
                <w:rStyle w:val="row-content-rich-text"/>
                <w:i/>
              </w:rPr>
              <w:t xml:space="preserve">Not known</w:t>
            </w:r>
            <w:r>
              <w:rPr>
                <w:rStyle w:val="row-content-rich-text"/>
              </w:rPr>
              <w:t xml:space="preserve"> rates and this may affect the interpretation of the proportions that can be presented. Also, some claim characteristics, such as the extent of harm to a patient and the body function or structure primarily affected, may change during the lifetime of a claim.</w:t>
            </w:r>
          </w:p>
          <w:p>
            <w:pPr/>
            <w:r>
              <w:rPr>
                <w:rStyle w:val="row-content-rich-text"/>
              </w:rPr>
              <w:t xml:space="preserve">Compared to public sector claims, private sector claims are more focused on the insured clinician and less focused on hospital incident reports. Accordingly, compared with public sector claims, some information such as clinician specialty tends to be ascertained at an earlier stage of investigation for private sector claims, whereas other information such as patient demographics may be ascertained at a later stage.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two previously established data set specifications. One of these was the AIHW’s MINC (Public Sector) in use for recording public sector medical indemnity claims data. The other was the National Claims and Policies Database (NCPD) developed by APRA for claims data from MIIs. In consultation with APRA and the AIHW, ISA developed an expanded version of the NCPD. This allowed ISA to report claims data from MIIs that were then members of the Medical Indemnity Insurance Association of Australia. ISA reported the data items to APRA that APRA required and the data items to AIHW that the MINC CC had agreed on for reporting.</w:t>
            </w:r>
          </w:p>
          <w:p>
            <w:pPr>
              <w:spacing w:after="160"/>
            </w:pPr>
            <w:r>
              <w:rPr>
                <w:rStyle w:val="row-content-rich-text"/>
              </w:rPr>
              <w:t xml:space="preserve">In 2009−10 the MINC (Public Sector) ‘extent of harm’ categories were revised to better align with the NCPD data item 17 ‘severity of loss’ categories. As a consequence extent of harm data were reported for the first time in 2009–10.</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and the involvement of multiple clinician specialties is recorded by recording up to three additional specialties as well as the principal specialty. In the private sector, it is a common practice for a single health-care incident to result in more than one claim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 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Australia’s medical indemnity claims 2011−12. Safety and quality of health care series no. 14. Cat. no. HSE 137.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03489640604620">
              <w:r>
                <w:rPr>
                  <w:rStyle w:val="Hyperlink"/>
                </w:rPr>
                <w:t xml:space="preserve">Medical Indemnity National Collection (Private Sector) 2012-13</w:t>
              </w:r>
            </w:hyperlink>
          </w:p>
          <w:p>
            <w:pPr>
              <w:spacing w:before="0" w:after="0"/>
            </w:pPr>
            <w:r>
              <w:rPr>
                <w:rStyle w:val="row-content"/>
                <w:color w:val="244061"/>
              </w:rPr>
              <w:t xml:space="preserve">       </w:t>
            </w:r>
            <w:hyperlink w:history="true" r:id="Rcb4d54dd0cb845e5">
              <w:r>
                <w:rPr>
                  <w:rStyle w:val="Hyperlink"/>
                  <w:color w:val="244061"/>
                </w:rPr>
                <w:t xml:space="preserve">AIHW Data Quality Statements</w:t>
              </w:r>
            </w:hyperlink>
            <w:r>
              <w:rPr>
                <w:rStyle w:val="row-content"/>
                <w:color w:val="244061"/>
              </w:rPr>
              <w:t xml:space="preserve">, Standard 11/07/2014</w:t>
            </w:r>
          </w:p>
          <w:p>
            <w:r>
              <w:br/>
            </w:r>
            <w:r>
              <w:rPr>
                <w:rStyle w:val="row-content"/>
              </w:rPr>
              <w:t xml:space="preserve">See also </w:t>
            </w:r>
            <w:hyperlink w:history="true" r:id="Rd473e16adfcd4205">
              <w:r>
                <w:rPr>
                  <w:rStyle w:val="Hyperlink"/>
                </w:rPr>
                <w:t xml:space="preserve">Medical Indemnity National Collection (Public Sector) 2010-11</w:t>
              </w:r>
            </w:hyperlink>
          </w:p>
          <w:p>
            <w:pPr>
              <w:spacing w:before="0" w:after="0"/>
            </w:pPr>
            <w:r>
              <w:rPr>
                <w:rStyle w:val="row-content"/>
                <w:color w:val="244061"/>
              </w:rPr>
              <w:t xml:space="preserve">       </w:t>
            </w:r>
            <w:hyperlink w:history="true" r:id="R68ae2f1411114f9b">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20f6eb3276c1456e">
              <w:r>
                <w:rPr>
                  <w:rStyle w:val="Hyperlink"/>
                </w:rPr>
                <w:t xml:space="preserve">Medical Indemnity National Collection (Public Sector) 2011-12</w:t>
              </w:r>
            </w:hyperlink>
          </w:p>
          <w:p>
            <w:pPr>
              <w:spacing w:before="0" w:after="0"/>
            </w:pPr>
            <w:r>
              <w:rPr>
                <w:rStyle w:val="row-content"/>
                <w:color w:val="244061"/>
              </w:rPr>
              <w:t xml:space="preserve">       </w:t>
            </w:r>
            <w:hyperlink w:history="true" r:id="Rad1b7ff3670c46b3">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8cbbdbbc4634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ad7408c41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bdbbc4634444c" /><Relationship Type="http://schemas.openxmlformats.org/officeDocument/2006/relationships/header" Target="/word/header1.xml" Id="R06802d5ca69649e0" /><Relationship Type="http://schemas.openxmlformats.org/officeDocument/2006/relationships/settings" Target="/word/settings.xml" Id="Re7d88113be014181" /><Relationship Type="http://schemas.openxmlformats.org/officeDocument/2006/relationships/styles" Target="/word/styles.xml" Id="R62ccd43520ca4a62" /><Relationship Type="http://schemas.openxmlformats.org/officeDocument/2006/relationships/hyperlink" Target="https://meteor.aihw.gov.au/RegistrationAuthority/5" TargetMode="External" Id="Re75c89079a604d35" /><Relationship Type="http://schemas.openxmlformats.org/officeDocument/2006/relationships/numbering" Target="/word/numbering.xml" Id="R33d59bd938fb4cfb" /><Relationship Type="http://schemas.openxmlformats.org/officeDocument/2006/relationships/hyperlink" Target="http://www.aihw.gov.au" TargetMode="External" Id="R28ca067e30af4cc5" /><Relationship Type="http://schemas.openxmlformats.org/officeDocument/2006/relationships/hyperlink" Target="http://www.aihw.gov.au/publications/medical-indemnity/" TargetMode="External" Id="Reb006cdc882a499e" /><Relationship Type="http://schemas.openxmlformats.org/officeDocument/2006/relationships/hyperlink" Target="https://meteor.aihw.gov.au/content/582076" TargetMode="External" Id="R2e03489640604620" /><Relationship Type="http://schemas.openxmlformats.org/officeDocument/2006/relationships/hyperlink" Target="https://meteor.aihw.gov.au/RegistrationAuthority/5" TargetMode="External" Id="Rcb4d54dd0cb845e5" /><Relationship Type="http://schemas.openxmlformats.org/officeDocument/2006/relationships/hyperlink" Target="https://meteor.aihw.gov.au/content/482047" TargetMode="External" Id="Rd473e16adfcd4205" /><Relationship Type="http://schemas.openxmlformats.org/officeDocument/2006/relationships/hyperlink" Target="https://meteor.aihw.gov.au/RegistrationAuthority/5" TargetMode="External" Id="R68ae2f1411114f9b" /><Relationship Type="http://schemas.openxmlformats.org/officeDocument/2006/relationships/hyperlink" Target="https://meteor.aihw.gov.au/content/528745" TargetMode="External" Id="R20f6eb3276c1456e" /><Relationship Type="http://schemas.openxmlformats.org/officeDocument/2006/relationships/hyperlink" Target="https://meteor.aihw.gov.au/RegistrationAuthority/5" TargetMode="External" Id="Rad1b7ff3670c46b3" /></Relationships>
</file>

<file path=word/_rels/header1.xml.rels>&#65279;<?xml version="1.0" encoding="utf-8"?><Relationships xmlns="http://schemas.openxmlformats.org/package/2006/relationships"><Relationship Type="http://schemas.openxmlformats.org/officeDocument/2006/relationships/image" Target="/media/image.png" Id="R8eaad7408c414124" /></Relationships>
</file>