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cfd83142904670"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Potentially avoidable deaths, 2009–2011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Potentially avoidable deaths, 2009–2011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Potentially avoidable deaths, 2009–2011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247d2200d5400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that are potentially avoidable within the present health system:</w:t>
            </w:r>
          </w:p>
          <w:p>
            <w:pPr>
              <w:spacing w:after="160"/>
            </w:pPr>
            <w:r>
              <w:rPr>
                <w:rStyle w:val="row-content-rich-text"/>
              </w:rPr>
              <w:t xml:space="preserve">-potentially preventable deaths are those amenable to screening and primary prevention, such as immunisation</w:t>
            </w:r>
          </w:p>
          <w:p>
            <w:pPr/>
            <w:r>
              <w:rPr>
                <w:rStyle w:val="row-content-rich-text"/>
              </w:rPr>
              <w:t xml:space="preserve">-deaths from potentially treatable conditions are those amenable to therapeutic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7d674985574fa4">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ed10baf42bf644e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codes in scope are as specified below:</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450" w:type="pct"/>
                  <w:vAlign w:val="top"/>
                </w:tcPr>
                <w:p>
                  <w:pPr/>
                  <w:r>
                    <w:rPr>
                      <w:rStyle w:val="row-content-rich-text"/>
                      <w:b/>
                    </w:rPr>
                    <w:t xml:space="preserve">Cause of death group</w:t>
                  </w:r>
                </w:p>
              </w:tc>
              <w:tc>
                <w:tcPr>
                  <w:tcW w:w="1700" w:type="pct"/>
                  <w:vAlign w:val="top"/>
                </w:tcPr>
                <w:p>
                  <w:r>
                    <w:rPr>
                      <w:b/>
                    </w:rPr>
                    <w:t xml:space="preserve">ICD-10 Codes</w:t>
                  </w:r>
                </w:p>
              </w:tc>
              <w:tc>
                <w:tcPr>
                  <w:tcW w:w="250" w:type="pct"/>
                  <w:vAlign w:val="top"/>
                </w:tcPr>
                <w:p>
                  <w:r>
                    <w:rPr>
                      <w:b/>
                    </w:rPr>
                    <w:t xml:space="preserve">Limits (age, sex)</w:t>
                  </w:r>
                </w:p>
              </w:tc>
              <w:tc>
                <w:tcPr>
                  <w:tcW w:w="200" w:type="pct"/>
                  <w:vAlign w:val="top"/>
                </w:tcPr>
                <w:p>
                  <w:r>
                    <w:rPr>
                      <w:b/>
                    </w:rPr>
                    <w:t xml:space="preserve">Treatable </w:t>
                  </w:r>
                </w:p>
              </w:tc>
              <w:tc>
                <w:tcPr>
                  <w:tcW w:w="200" w:type="pct"/>
                  <w:vAlign w:val="top"/>
                </w:tcPr>
                <w:p>
                  <w:r>
                    <w:rPr>
                      <w:b/>
                    </w:rPr>
                    <w:t xml:space="preserve"> Preventable</w:t>
                  </w:r>
                </w:p>
              </w:tc>
            </w:tr>
            <w:tr>
              <w:trPr/>
              <w:tc>
                <w:tcPr>
                  <w:tcW w:w="2450" w:type="pct"/>
                  <w:vAlign w:val="top"/>
                </w:tcPr>
                <w:p>
                  <w:r>
                    <w:rPr>
                      <w:b/>
                    </w:rPr>
                    <w:t xml:space="preserve">Infections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Tuberculosis</w:t>
                  </w:r>
                </w:p>
              </w:tc>
              <w:tc>
                <w:tcPr>
                  <w:tcW w:w="1700" w:type="pct"/>
                  <w:vAlign w:val="top"/>
                </w:tcPr>
                <w:p>
                  <w:r>
                    <w:t xml:space="preserve">A15–A19, B90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Selected invasive bacterial and protozoal infections</w:t>
                  </w:r>
                </w:p>
              </w:tc>
              <w:tc>
                <w:tcPr>
                  <w:tcW w:w="1700" w:type="pct"/>
                  <w:vAlign w:val="top"/>
                </w:tcPr>
                <w:p>
                  <w:r>
                    <w:t xml:space="preserve">A38–A41, A46, A48.1 B50–B54, G00,G03, J02.0, J13–J15, J18, L03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Hepatitis</w:t>
                  </w:r>
                </w:p>
              </w:tc>
              <w:tc>
                <w:tcPr>
                  <w:tcW w:w="1700" w:type="pct"/>
                  <w:vAlign w:val="top"/>
                </w:tcPr>
                <w:p>
                  <w:r>
                    <w:t xml:space="preserve">B15–B19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HIV/AIDS</w:t>
                  </w:r>
                </w:p>
              </w:tc>
              <w:tc>
                <w:tcPr>
                  <w:tcW w:w="1700" w:type="pct"/>
                  <w:vAlign w:val="top"/>
                </w:tcPr>
                <w:p>
                  <w:r>
                    <w:t xml:space="preserve">B20–B24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Viral pneumonia and influenza</w:t>
                  </w:r>
                </w:p>
              </w:tc>
              <w:tc>
                <w:tcPr>
                  <w:tcW w:w="1700" w:type="pct"/>
                  <w:vAlign w:val="top"/>
                </w:tcPr>
                <w:p>
                  <w:r>
                    <w:t xml:space="preserve">J10, J12, J21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Enteritis and other diarrhoeal disease</w:t>
                  </w:r>
                </w:p>
              </w:tc>
              <w:tc>
                <w:tcPr>
                  <w:tcW w:w="1700" w:type="pct"/>
                  <w:vAlign w:val="top"/>
                </w:tcPr>
                <w:p>
                  <w:r>
                    <w:t xml:space="preserve">A00–A09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Childhood vaccine-preventable diseases</w:t>
                  </w:r>
                </w:p>
              </w:tc>
              <w:tc>
                <w:tcPr>
                  <w:tcW w:w="1700" w:type="pct"/>
                  <w:vAlign w:val="top"/>
                </w:tcPr>
                <w:p>
                  <w:r>
                    <w:t xml:space="preserve">A35–A37, A49.1, A49.2, A80, B01, B05–B06, J11</w:t>
                  </w:r>
                </w:p>
              </w:tc>
              <w:tc>
                <w:tcPr>
                  <w:tcW w:w="250" w:type="pct"/>
                  <w:vAlign w:val="top"/>
                </w:tcPr>
                <w:p>
                  <w:r>
                    <w:t xml:space="preserve">0–14</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Sexually transmitted diseases, except HIV/AIDS</w:t>
                  </w:r>
                </w:p>
              </w:tc>
              <w:tc>
                <w:tcPr>
                  <w:tcW w:w="1700" w:type="pct"/>
                  <w:vAlign w:val="top"/>
                </w:tcPr>
                <w:p>
                  <w:r>
                    <w:t xml:space="preserve">A50–A64, M02.3, N34.1, N70–N73, N75.0, N75.1, N76.4, N76.6, O00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Ear infections—otitis media and mastoiditis</w:t>
                  </w:r>
                </w:p>
              </w:tc>
              <w:tc>
                <w:tcPr>
                  <w:tcW w:w="1700" w:type="pct"/>
                  <w:vAlign w:val="top"/>
                </w:tcPr>
                <w:p>
                  <w:r>
                    <w:t xml:space="preserve">H65–H70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Upper respiratory tract infection</w:t>
                  </w:r>
                </w:p>
              </w:tc>
              <w:tc>
                <w:tcPr>
                  <w:tcW w:w="1700" w:type="pct"/>
                  <w:vAlign w:val="top"/>
                </w:tcPr>
                <w:p>
                  <w:r>
                    <w:t xml:space="preserve">J00–J06 (except for J02.0)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Cancer</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Lip, oral cavity and pharynx</w:t>
                  </w:r>
                </w:p>
              </w:tc>
              <w:tc>
                <w:tcPr>
                  <w:tcW w:w="1700" w:type="pct"/>
                  <w:vAlign w:val="top"/>
                </w:tcPr>
                <w:p>
                  <w:r>
                    <w:t xml:space="preserve">C00–C14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Oesophagus</w:t>
                  </w:r>
                </w:p>
              </w:tc>
              <w:tc>
                <w:tcPr>
                  <w:tcW w:w="1700" w:type="pct"/>
                  <w:vAlign w:val="top"/>
                </w:tcPr>
                <w:p>
                  <w:r>
                    <w:t xml:space="preserve">C15</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Stomach</w:t>
                  </w:r>
                </w:p>
              </w:tc>
              <w:tc>
                <w:tcPr>
                  <w:tcW w:w="1700" w:type="pct"/>
                  <w:vAlign w:val="top"/>
                </w:tcPr>
                <w:p>
                  <w:r>
                    <w:t xml:space="preserve">C16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Colorectal</w:t>
                  </w:r>
                </w:p>
              </w:tc>
              <w:tc>
                <w:tcPr>
                  <w:tcW w:w="1700" w:type="pct"/>
                  <w:vAlign w:val="top"/>
                </w:tcPr>
                <w:p>
                  <w:r>
                    <w:t xml:space="preserve">C18–C21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Liver</w:t>
                  </w:r>
                </w:p>
              </w:tc>
              <w:tc>
                <w:tcPr>
                  <w:tcW w:w="1700" w:type="pct"/>
                  <w:vAlign w:val="top"/>
                </w:tcPr>
                <w:p>
                  <w:r>
                    <w:t xml:space="preserve">C22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Lung</w:t>
                  </w:r>
                </w:p>
              </w:tc>
              <w:tc>
                <w:tcPr>
                  <w:tcW w:w="1700" w:type="pct"/>
                  <w:vAlign w:val="top"/>
                </w:tcPr>
                <w:p>
                  <w:r>
                    <w:t xml:space="preserve">C33, C34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Melanoma of skin</w:t>
                  </w:r>
                </w:p>
              </w:tc>
              <w:tc>
                <w:tcPr>
                  <w:tcW w:w="1700" w:type="pct"/>
                  <w:vAlign w:val="top"/>
                </w:tcPr>
                <w:p>
                  <w:r>
                    <w:t xml:space="preserve">C43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Non-melanocytic skin</w:t>
                  </w:r>
                </w:p>
              </w:tc>
              <w:tc>
                <w:tcPr>
                  <w:tcW w:w="1700" w:type="pct"/>
                  <w:vAlign w:val="top"/>
                </w:tcPr>
                <w:p>
                  <w:r>
                    <w:t xml:space="preserve">C44</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Breast</w:t>
                  </w:r>
                </w:p>
              </w:tc>
              <w:tc>
                <w:tcPr>
                  <w:tcW w:w="1700" w:type="pct"/>
                  <w:vAlign w:val="top"/>
                </w:tcPr>
                <w:p>
                  <w:r>
                    <w:t xml:space="preserve">C50</w:t>
                  </w:r>
                </w:p>
              </w:tc>
              <w:tc>
                <w:tcPr>
                  <w:tcW w:w="250" w:type="pct"/>
                  <w:vAlign w:val="top"/>
                </w:tcPr>
                <w:p>
                  <w:r>
                    <w:t xml:space="preserve">Female</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Cervix</w:t>
                  </w:r>
                </w:p>
              </w:tc>
              <w:tc>
                <w:tcPr>
                  <w:tcW w:w="1700" w:type="pct"/>
                  <w:vAlign w:val="top"/>
                </w:tcPr>
                <w:p>
                  <w:r>
                    <w:t xml:space="preserve">C53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Uterus</w:t>
                  </w:r>
                </w:p>
              </w:tc>
              <w:tc>
                <w:tcPr>
                  <w:tcW w:w="1700" w:type="pct"/>
                  <w:vAlign w:val="top"/>
                </w:tcPr>
                <w:p>
                  <w:r>
                    <w:t xml:space="preserve">C54, C55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Bladder</w:t>
                  </w:r>
                </w:p>
              </w:tc>
              <w:tc>
                <w:tcPr>
                  <w:tcW w:w="1700" w:type="pct"/>
                  <w:vAlign w:val="top"/>
                </w:tcPr>
                <w:p>
                  <w:r>
                    <w:t xml:space="preserve">C67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Thyroid</w:t>
                  </w:r>
                </w:p>
              </w:tc>
              <w:tc>
                <w:tcPr>
                  <w:tcW w:w="1700" w:type="pct"/>
                  <w:vAlign w:val="top"/>
                </w:tcPr>
                <w:p>
                  <w:r>
                    <w:t xml:space="preserve">C73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Hodgkin’s disease</w:t>
                  </w:r>
                </w:p>
              </w:tc>
              <w:tc>
                <w:tcPr>
                  <w:tcW w:w="1700" w:type="pct"/>
                  <w:vAlign w:val="top"/>
                </w:tcPr>
                <w:p>
                  <w:r>
                    <w:t xml:space="preserve">C81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Lymphoid leukaemia—acute/chronic</w:t>
                  </w:r>
                </w:p>
              </w:tc>
              <w:tc>
                <w:tcPr>
                  <w:tcW w:w="1700" w:type="pct"/>
                  <w:vAlign w:val="top"/>
                </w:tcPr>
                <w:p>
                  <w:r>
                    <w:t xml:space="preserve">C91.0, C91.1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Benign cancers</w:t>
                  </w:r>
                </w:p>
              </w:tc>
              <w:tc>
                <w:tcPr>
                  <w:tcW w:w="1700" w:type="pct"/>
                  <w:vAlign w:val="top"/>
                </w:tcPr>
                <w:p>
                  <w:r>
                    <w:t xml:space="preserve">D10–D36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Malignant neoplasm of testis</w:t>
                  </w:r>
                </w:p>
              </w:tc>
              <w:tc>
                <w:tcPr>
                  <w:tcW w:w="1700" w:type="pct"/>
                  <w:vAlign w:val="top"/>
                </w:tcPr>
                <w:p>
                  <w:r>
                    <w:t xml:space="preserve">C62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Malignant neoplasm of eye and adnexa</w:t>
                  </w:r>
                </w:p>
              </w:tc>
              <w:tc>
                <w:tcPr>
                  <w:tcW w:w="1700" w:type="pct"/>
                  <w:vAlign w:val="top"/>
                </w:tcPr>
                <w:p>
                  <w:r>
                    <w:t xml:space="preserve">C69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Diabetes</w:t>
                  </w:r>
                </w:p>
              </w:tc>
              <w:tc>
                <w:tcPr>
                  <w:tcW w:w="1700" w:type="pct"/>
                  <w:vAlign w:val="top"/>
                </w:tcPr>
                <w:p>
                  <w:r>
                    <w:t xml:space="preserve">E10–E14</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rPr>
                      <w:b/>
                    </w:rPr>
                    <w:t xml:space="preserve">Drug use disorders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Alcohol related disease</w:t>
                  </w:r>
                </w:p>
              </w:tc>
              <w:tc>
                <w:tcPr>
                  <w:tcW w:w="1700" w:type="pct"/>
                  <w:vAlign w:val="top"/>
                </w:tcPr>
                <w:p>
                  <w:r>
                    <w:t xml:space="preserve">F10, I42.6, K29.2, K70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Illicit drug use disorders</w:t>
                  </w:r>
                </w:p>
              </w:tc>
              <w:tc>
                <w:tcPr>
                  <w:tcW w:w="1700" w:type="pct"/>
                  <w:vAlign w:val="top"/>
                </w:tcPr>
                <w:p>
                  <w:r>
                    <w:t xml:space="preserve">F11–F16, F18, F19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Epilepsy</w:t>
                  </w:r>
                </w:p>
              </w:tc>
              <w:tc>
                <w:tcPr>
                  <w:tcW w:w="1700" w:type="pct"/>
                  <w:vAlign w:val="top"/>
                </w:tcPr>
                <w:p>
                  <w:r>
                    <w:t xml:space="preserve">G40, G41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circulatory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Rheumatic and other valvular heart disease</w:t>
                  </w:r>
                </w:p>
              </w:tc>
              <w:tc>
                <w:tcPr>
                  <w:tcW w:w="1700" w:type="pct"/>
                  <w:vAlign w:val="top"/>
                </w:tcPr>
                <w:p>
                  <w:r>
                    <w:t xml:space="preserve">I01–I09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Hypertensive heart disease</w:t>
                  </w:r>
                </w:p>
              </w:tc>
              <w:tc>
                <w:tcPr>
                  <w:tcW w:w="1700" w:type="pct"/>
                  <w:vAlign w:val="top"/>
                </w:tcPr>
                <w:p>
                  <w:r>
                    <w:t xml:space="preserve">I11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Ischaemic heart disease</w:t>
                  </w:r>
                </w:p>
              </w:tc>
              <w:tc>
                <w:tcPr>
                  <w:tcW w:w="1700" w:type="pct"/>
                  <w:vAlign w:val="top"/>
                </w:tcPr>
                <w:p>
                  <w:r>
                    <w:t xml:space="preserve">I20–I25</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Cerebrovascular diseases</w:t>
                  </w:r>
                </w:p>
              </w:tc>
              <w:tc>
                <w:tcPr>
                  <w:tcW w:w="1700" w:type="pct"/>
                  <w:vAlign w:val="top"/>
                </w:tcPr>
                <w:p>
                  <w:r>
                    <w:t xml:space="preserve">I60–I69</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Aortic aneurysm</w:t>
                  </w:r>
                </w:p>
              </w:tc>
              <w:tc>
                <w:tcPr>
                  <w:tcW w:w="1700" w:type="pct"/>
                  <w:vAlign w:val="top"/>
                </w:tcPr>
                <w:p>
                  <w:r>
                    <w:t xml:space="preserve">I71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Phlebitis and thrombophlebitis of other deep vessels of lower extremities </w:t>
                  </w:r>
                </w:p>
              </w:tc>
              <w:tc>
                <w:tcPr>
                  <w:tcW w:w="1700" w:type="pct"/>
                  <w:vAlign w:val="top"/>
                </w:tcPr>
                <w:p>
                  <w:r>
                    <w:t xml:space="preserve">I80.2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Pulmonary embolism</w:t>
                  </w:r>
                </w:p>
              </w:tc>
              <w:tc>
                <w:tcPr>
                  <w:tcW w:w="1700" w:type="pct"/>
                  <w:vAlign w:val="top"/>
                </w:tcPr>
                <w:p>
                  <w:r>
                    <w:t xml:space="preserve">I26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Diseases of the genitourinary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Nephritis and nephrosis</w:t>
                  </w:r>
                </w:p>
              </w:tc>
              <w:tc>
                <w:tcPr>
                  <w:tcW w:w="1700" w:type="pct"/>
                  <w:vAlign w:val="top"/>
                </w:tcPr>
                <w:p>
                  <w:r>
                    <w:t xml:space="preserve">I12, I13, N00–N07, N17–N19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Obstructive uropathy &amp; prostatic hyperplasia</w:t>
                  </w:r>
                </w:p>
              </w:tc>
              <w:tc>
                <w:tcPr>
                  <w:tcW w:w="1700" w:type="pct"/>
                  <w:vAlign w:val="top"/>
                </w:tcPr>
                <w:p>
                  <w:r>
                    <w:t xml:space="preserve">N13, N20, N21, N35, N40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respiratory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COPD</w:t>
                  </w:r>
                </w:p>
              </w:tc>
              <w:tc>
                <w:tcPr>
                  <w:tcW w:w="1700" w:type="pct"/>
                  <w:vAlign w:val="top"/>
                </w:tcPr>
                <w:p>
                  <w:r>
                    <w:t xml:space="preserve">J40–J44</w:t>
                  </w:r>
                </w:p>
              </w:tc>
              <w:tc>
                <w:tcPr>
                  <w:tcW w:w="250" w:type="pct"/>
                  <w:vAlign w:val="top"/>
                </w:tcPr>
                <w:p>
                  <w:r>
                    <w:t xml:space="preserve">45–74 years</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Asthma</w:t>
                  </w:r>
                </w:p>
              </w:tc>
              <w:tc>
                <w:tcPr>
                  <w:tcW w:w="1700" w:type="pct"/>
                  <w:vAlign w:val="top"/>
                </w:tcPr>
                <w:p>
                  <w:r>
                    <w:t xml:space="preserve">J45, J46</w:t>
                  </w:r>
                </w:p>
              </w:tc>
              <w:tc>
                <w:tcPr>
                  <w:tcW w:w="250" w:type="pct"/>
                  <w:vAlign w:val="top"/>
                </w:tcPr>
                <w:p>
                  <w:r>
                    <w:t xml:space="preserve">0–44 years</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digestive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Peptic ulcer disease</w:t>
                  </w:r>
                </w:p>
              </w:tc>
              <w:tc>
                <w:tcPr>
                  <w:tcW w:w="1700" w:type="pct"/>
                  <w:vAlign w:val="top"/>
                </w:tcPr>
                <w:p>
                  <w:r>
                    <w:t xml:space="preserve">K25–K28</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Diseases of appendix; hernia; disorders of gallbladder, biliary tract, and pancreas </w:t>
                  </w:r>
                </w:p>
              </w:tc>
              <w:tc>
                <w:tcPr>
                  <w:tcW w:w="1700" w:type="pct"/>
                  <w:vAlign w:val="top"/>
                </w:tcPr>
                <w:p>
                  <w:r>
                    <w:t xml:space="preserve">K35–K38, K40–K46, K80–K83, K85, K86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Chronic liver disease (excluding alcohol-related disease)</w:t>
                  </w:r>
                </w:p>
              </w:tc>
              <w:tc>
                <w:tcPr>
                  <w:tcW w:w="1700" w:type="pct"/>
                  <w:vAlign w:val="top"/>
                </w:tcPr>
                <w:p>
                  <w:r>
                    <w:t xml:space="preserve">K73, K74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Maternal &amp; infant causes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Birth defects</w:t>
                  </w:r>
                </w:p>
              </w:tc>
              <w:tc>
                <w:tcPr>
                  <w:tcW w:w="1700" w:type="pct"/>
                  <w:vAlign w:val="top"/>
                </w:tcPr>
                <w:p>
                  <w:r>
                    <w:t xml:space="preserve">H31.1, P00, P04, Q00–Q99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Complications of perinatal period</w:t>
                  </w:r>
                </w:p>
              </w:tc>
              <w:tc>
                <w:tcPr>
                  <w:tcW w:w="1700" w:type="pct"/>
                  <w:vAlign w:val="top"/>
                </w:tcPr>
                <w:p>
                  <w:r>
                    <w:t xml:space="preserve">P03, P05–P95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Unintentional injuries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Road traffic injuries</w:t>
                  </w:r>
                </w:p>
              </w:tc>
              <w:tc>
                <w:tcPr>
                  <w:tcW w:w="1700" w:type="pct"/>
                  <w:vAlign w:val="top"/>
                </w:tcPr>
                <w:p>
                  <w:r>
                    <w:t xml:space="preserve">V01–V04, V06, V09–V80, V87, V89, V99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Falls</w:t>
                  </w:r>
                </w:p>
              </w:tc>
              <w:tc>
                <w:tcPr>
                  <w:tcW w:w="1700" w:type="pct"/>
                  <w:vAlign w:val="top"/>
                </w:tcPr>
                <w:p>
                  <w:r>
                    <w:t xml:space="preserve">W00–W19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Fires, burns</w:t>
                  </w:r>
                </w:p>
              </w:tc>
              <w:tc>
                <w:tcPr>
                  <w:tcW w:w="1700" w:type="pct"/>
                  <w:vAlign w:val="top"/>
                </w:tcPr>
                <w:p>
                  <w:r>
                    <w:t xml:space="preserve">X00–X09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Accidental poisonings</w:t>
                  </w:r>
                </w:p>
              </w:tc>
              <w:tc>
                <w:tcPr>
                  <w:tcW w:w="1700" w:type="pct"/>
                  <w:vAlign w:val="top"/>
                </w:tcPr>
                <w:p>
                  <w:r>
                    <w:t xml:space="preserve">X40–X49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Drownings</w:t>
                  </w:r>
                </w:p>
              </w:tc>
              <w:tc>
                <w:tcPr>
                  <w:tcW w:w="1700" w:type="pct"/>
                  <w:vAlign w:val="top"/>
                </w:tcPr>
                <w:p>
                  <w:r>
                    <w:t xml:space="preserve">W65–W74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War</w:t>
                  </w:r>
                </w:p>
              </w:tc>
              <w:tc>
                <w:tcPr>
                  <w:tcW w:w="1700" w:type="pct"/>
                  <w:vAlign w:val="top"/>
                </w:tcPr>
                <w:p>
                  <w:r>
                    <w:t xml:space="preserve">Y36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Intentional injuries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Suicide and self-inflicted injuries</w:t>
                  </w:r>
                </w:p>
              </w:tc>
              <w:tc>
                <w:tcPr>
                  <w:tcW w:w="1700" w:type="pct"/>
                  <w:vAlign w:val="top"/>
                </w:tcPr>
                <w:p>
                  <w:r>
                    <w:t xml:space="preserve">X60–X84, Y87.0, Y10–Y34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Violence</w:t>
                  </w:r>
                </w:p>
              </w:tc>
              <w:tc>
                <w:tcPr>
                  <w:tcW w:w="1700" w:type="pct"/>
                  <w:vAlign w:val="top"/>
                </w:tcPr>
                <w:p>
                  <w:r>
                    <w:t xml:space="preserve">X85–Y09, Y87.1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Other conditions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Nutritional deficiency anaemia</w:t>
                  </w:r>
                </w:p>
              </w:tc>
              <w:tc>
                <w:tcPr>
                  <w:tcW w:w="1700" w:type="pct"/>
                  <w:vAlign w:val="top"/>
                </w:tcPr>
                <w:p>
                  <w:r>
                    <w:t xml:space="preserve">D50–D53</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Thyroid disorders</w:t>
                  </w:r>
                </w:p>
              </w:tc>
              <w:tc>
                <w:tcPr>
                  <w:tcW w:w="1700" w:type="pct"/>
                  <w:vAlign w:val="top"/>
                </w:tcPr>
                <w:p>
                  <w:r>
                    <w:t xml:space="preserve">E00–E07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Adrenal disorders</w:t>
                  </w:r>
                </w:p>
              </w:tc>
              <w:tc>
                <w:tcPr>
                  <w:tcW w:w="1700" w:type="pct"/>
                  <w:vAlign w:val="top"/>
                </w:tcPr>
                <w:p>
                  <w:r>
                    <w:t xml:space="preserve">E24, E27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Congenital metabolic disorders</w:t>
                  </w:r>
                </w:p>
              </w:tc>
              <w:tc>
                <w:tcPr>
                  <w:tcW w:w="1700" w:type="pct"/>
                  <w:vAlign w:val="top"/>
                </w:tcPr>
                <w:p>
                  <w:r>
                    <w:t xml:space="preserve">E25, E70.0, E74.2</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Osteomyelitis and other osteopathies of bone</w:t>
                  </w:r>
                </w:p>
              </w:tc>
              <w:tc>
                <w:tcPr>
                  <w:tcW w:w="1700" w:type="pct"/>
                  <w:vAlign w:val="top"/>
                </w:tcPr>
                <w:p>
                  <w:r>
                    <w:t xml:space="preserve">M86, M89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Complications of pregnancy, labour or the puerperium</w:t>
                  </w:r>
                </w:p>
              </w:tc>
              <w:tc>
                <w:tcPr>
                  <w:tcW w:w="1700" w:type="pct"/>
                  <w:vAlign w:val="top"/>
                </w:tcPr>
                <w:p>
                  <w:r>
                    <w:t xml:space="preserve">O01–O99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Misadventures to patients during surgical and medical care</w:t>
                  </w:r>
                </w:p>
              </w:tc>
              <w:tc>
                <w:tcPr>
                  <w:tcW w:w="1700" w:type="pct"/>
                  <w:vAlign w:val="top"/>
                </w:tcPr>
                <w:p>
                  <w:r>
                    <w:t xml:space="preserve">Y60–Y69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Medical devices associated with adverse incidents in diagnostic &amp; therapeutic use</w:t>
                  </w:r>
                </w:p>
              </w:tc>
              <w:tc>
                <w:tcPr>
                  <w:tcW w:w="1700" w:type="pct"/>
                  <w:vAlign w:val="top"/>
                </w:tcPr>
                <w:p>
                  <w:r>
                    <w:t xml:space="preserve">Y70–Y82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Surgical and other medical procedures as the cause of abnormal reaction of the patient, or of later complication, without mention of misadventure at the time of the procedure</w:t>
                  </w:r>
                </w:p>
              </w:tc>
              <w:tc>
                <w:tcPr>
                  <w:tcW w:w="1700" w:type="pct"/>
                  <w:vAlign w:val="top"/>
                </w:tcPr>
                <w:p>
                  <w:r>
                    <w:t xml:space="preserve">Y83–Y84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Calculated separately for:</w:t>
            </w:r>
          </w:p>
          <w:p>
            <w:pPr>
              <w:pStyle w:val="ListParagraph"/>
              <w:numPr>
                <w:ilvl w:val="0"/>
                <w:numId w:val="2"/>
              </w:numPr>
            </w:pPr>
            <w:r>
              <w:rPr>
                <w:rStyle w:val="row-content-rich-text"/>
              </w:rPr>
              <w:t xml:space="preserve">Potentially avoidable deaths  </w:t>
            </w:r>
          </w:p>
          <w:p>
            <w:pPr>
              <w:pStyle w:val="ListParagraph"/>
              <w:numPr>
                <w:ilvl w:val="0"/>
                <w:numId w:val="2"/>
              </w:numPr>
            </w:pPr>
            <w:r>
              <w:rPr>
                <w:rStyle w:val="row-content-rich-text"/>
              </w:rPr>
              <w:t xml:space="preserve">Potentially preventable deaths </w:t>
            </w:r>
          </w:p>
          <w:p>
            <w:pPr>
              <w:pStyle w:val="ListParagraph"/>
              <w:numPr>
                <w:ilvl w:val="0"/>
                <w:numId w:val="2"/>
              </w:numPr>
            </w:pPr>
            <w:r>
              <w:rPr>
                <w:rStyle w:val="row-content-rich-text"/>
              </w:rPr>
              <w:t xml:space="preserve">Deaths from potentially treatable conditions </w:t>
            </w:r>
          </w:p>
          <w:p>
            <w:pPr>
              <w:spacing w:after="160"/>
            </w:pPr>
            <w:r>
              <w:rPr>
                <w:rStyle w:val="row-content-rich-text"/>
              </w:rPr>
              <w:t xml:space="preserve">Presented per 100,000 population, age-standardised to the total Australian population as at 30 June 2001   </w:t>
            </w:r>
          </w:p>
          <w:p>
            <w:pPr>
              <w:spacing w:after="160"/>
            </w:pPr>
            <w:r>
              <w:rPr>
                <w:rStyle w:val="row-content-rich-text"/>
              </w:rPr>
              <w:t xml:space="preserve">Calculated for preventable and treatable categories by age and sex.</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Deaths among people by sex aged less than 75 years categorised as potentially avoidable (preventable, treatable)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5a1e7c2e134898">
              <w:r>
                <w:rPr>
                  <w:rStyle w:val="Hyperlink"/>
                </w:rPr>
                <w:t xml:space="preserve">Person—age, total years N[NN]</w:t>
              </w:r>
            </w:hyperlink>
          </w:p>
          <w:p>
            <w:r>
              <w:rPr>
                <w:rStyle w:val="row-content"/>
                <w:b/>
              </w:rPr>
              <w:t xml:space="preserve">Data Source</w:t>
            </w:r>
          </w:p>
          <w:p>
            <w:hyperlink w:history="true" r:id="Rda066bc0580c47b5">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b/>
                <w:color w:val="000000"/>
              </w:rPr>
              <w:t xml:space="preserve">Data Element / Data Set</w:t>
            </w:r>
          </w:p>
          <w:p>
            <w:hyperlink w:history="true" r:id="Rd2018dcd75934029">
              <w:r>
                <w:rPr>
                  <w:rStyle w:val="Hyperlink"/>
                </w:rPr>
                <w:t xml:space="preserve">Person—potentially preventable death indicator, yes/no code N</w:t>
              </w:r>
            </w:hyperlink>
          </w:p>
          <w:p>
            <w:r>
              <w:rPr>
                <w:rStyle w:val="row-content"/>
                <w:b/>
              </w:rPr>
              <w:t xml:space="preserve">Data Source</w:t>
            </w:r>
          </w:p>
          <w:p>
            <w:hyperlink w:history="true" r:id="Rbe7b6da1d0e644ed">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b/>
                <w:color w:val="000000"/>
              </w:rPr>
              <w:t xml:space="preserve">Data Element / Data Set</w:t>
            </w:r>
          </w:p>
          <w:p>
            <w:hyperlink w:history="true" r:id="Rd61751259c174d07">
              <w:r>
                <w:rPr>
                  <w:rStyle w:val="Hyperlink"/>
                </w:rPr>
                <w:t xml:space="preserve">Person—potentially treatable death indicator, yes/no code N</w:t>
              </w:r>
            </w:hyperlink>
          </w:p>
          <w:p>
            <w:r>
              <w:rPr>
                <w:rStyle w:val="row-content"/>
                <w:b/>
              </w:rPr>
              <w:t xml:space="preserve">Data Source</w:t>
            </w:r>
          </w:p>
          <w:p>
            <w:hyperlink w:history="true" r:id="Rc4a642aaaa034f25">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 years by 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bc23642a584530">
              <w:r>
                <w:rPr>
                  <w:rStyle w:val="Hyperlink"/>
                </w:rPr>
                <w:t xml:space="preserve">Person—age, total years N[NN]</w:t>
              </w:r>
            </w:hyperlink>
          </w:p>
          <w:p>
            <w:r>
              <w:rPr>
                <w:rStyle w:val="row-content"/>
                <w:b/>
              </w:rPr>
              <w:t xml:space="preserve">Data Source</w:t>
            </w:r>
          </w:p>
          <w:p>
            <w:hyperlink w:history="true" r:id="R26047e20bbf9493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Sex,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6c441c4a0b40a4">
              <w:r>
                <w:rPr>
                  <w:rStyle w:val="Hyperlink"/>
                </w:rPr>
                <w:t xml:space="preserve">Person—sex, code N</w:t>
              </w:r>
            </w:hyperlink>
          </w:p>
          <w:p>
            <w:r>
              <w:rPr>
                <w:rStyle w:val="row-content"/>
                <w:b/>
                <w:color w:val="000000"/>
              </w:rPr>
              <w:t xml:space="preserve">Data Element / Data Set</w:t>
            </w:r>
          </w:p>
          <w:p>
            <w:hyperlink w:history="true" r:id="R25d7c8ff8f234c2f">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ee850afa14a34f47">
              <w:r>
                <w:rPr>
                  <w:rStyle w:val="Hyperlink"/>
                </w:rPr>
                <w:t xml:space="preserve">Administrative health region—Medicare Local peer group,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Individual Medicare Locals do not include deaths coded to an undefined area, including: migratory, offshore and shipping, overseas usual residence, no usual address, and unknown usual residence deaths. Deaths coded to these ill-defined geographies are included in whole State, Territory, Australia and Medicare Locals totals.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a699d2223ea4b47">
              <w:r>
                <w:rPr>
                  <w:rStyle w:val="Hyperlink"/>
                </w:rPr>
                <w:t xml:space="preserve">PAF-Effectiveness</w:t>
              </w:r>
            </w:hyperlink>
          </w:p>
          <w:p>
            <w:pPr>
              <w:pStyle w:val="ListParagraph"/>
              <w:numPr>
                <w:ilvl w:val="0"/>
                <w:numId w:val="3"/>
              </w:numPr>
            </w:pPr>
            <w:hyperlink w:history="true" r:id="Rbea08884b39f4ba1">
              <w:r>
                <w:rPr>
                  <w:rStyle w:val="Hyperlink"/>
                </w:rPr>
                <w:t xml:space="preserve">PAF-Appropriateness</w:t>
              </w:r>
            </w:hyperlink>
            <w:r>
              <w:br/>
            </w:r>
            <w:r>
              <w:rPr>
                <w:rStyle w:val="row-content"/>
              </w:rPr>
              <w:t xml:space="preserve"> </w:t>
            </w:r>
          </w:p>
          <w:p>
            <w:pPr>
              <w:pStyle w:val="ListParagraph"/>
              <w:numPr>
                <w:ilvl w:val="0"/>
                <w:numId w:val="3"/>
              </w:numPr>
            </w:pPr>
            <w:hyperlink w:history="true" r:id="Rbbd138042b704994">
              <w:r>
                <w:rPr>
                  <w:rStyle w:val="Hyperlink"/>
                </w:rPr>
                <w:t xml:space="preserve">PAF-Effectiveness of access</w:t>
              </w:r>
            </w:hyperlink>
            <w:r>
              <w:br/>
            </w:r>
            <w:r>
              <w:rPr>
                <w:rStyle w:val="row-content"/>
              </w:rPr>
              <w:t xml:space="preserve"> </w:t>
            </w:r>
          </w:p>
          <w:p>
            <w:pPr>
              <w:pStyle w:val="ListParagraph"/>
              <w:numPr>
                <w:ilvl w:val="0"/>
                <w:numId w:val="3"/>
              </w:numPr>
            </w:pPr>
            <w:hyperlink w:history="true" r:id="Rdf34f87833144586">
              <w:r>
                <w:rPr>
                  <w:rStyle w:val="Hyperlink"/>
                </w:rPr>
                <w:t xml:space="preserve">PAF-Quality</w:t>
              </w:r>
            </w:hyperlink>
            <w:r>
              <w:br/>
            </w:r>
            <w:r>
              <w:rPr>
                <w:rStyle w:val="row-content"/>
              </w:rPr>
              <w:t xml:space="preserve">        • </w:t>
            </w:r>
            <w:hyperlink w:history="true" r:id="Rcd079c3ffc974dc8">
              <w:r>
                <w:rPr>
                  <w:rStyle w:val="Hyperlink"/>
                </w:rPr>
                <w:t xml:space="preserve">PAF-Capability</w:t>
              </w:r>
            </w:hyperlink>
            <w:r>
              <w:br/>
            </w:r>
            <w:r>
              <w:br/>
            </w:r>
            <w:r>
              <w:rPr>
                <w:rStyle w:val="row-content"/>
              </w:rPr>
              <w:t xml:space="preserve">        • </w:t>
            </w:r>
            <w:hyperlink w:history="true" r:id="R51719ad77a1e4c49">
              <w:r>
                <w:rPr>
                  <w:rStyle w:val="Hyperlink"/>
                </w:rPr>
                <w:t xml:space="preserve">PAF-Continuity</w:t>
              </w:r>
            </w:hyperlink>
            <w:r>
              <w:br/>
            </w:r>
            <w:r>
              <w:br/>
            </w:r>
            <w:r>
              <w:rPr>
                <w:rStyle w:val="row-content"/>
              </w:rPr>
              <w:t xml:space="preserve">        • </w:t>
            </w:r>
            <w:hyperlink w:history="true" r:id="Ra0868117b9d74005">
              <w:r>
                <w:rPr>
                  <w:rStyle w:val="Hyperlink"/>
                </w:rPr>
                <w:t xml:space="preserve">PAF-Responsiveness</w:t>
              </w:r>
            </w:hyperlink>
            <w:r>
              <w:br/>
            </w:r>
            <w:r>
              <w:br/>
            </w:r>
            <w:r>
              <w:rPr>
                <w:rStyle w:val="row-content"/>
              </w:rPr>
              <w:t xml:space="preserve">        • </w:t>
            </w:r>
            <w:hyperlink w:history="true" r:id="Rad1bafa9d9134b11">
              <w:r>
                <w:rPr>
                  <w:rStyle w:val="Hyperlink"/>
                </w:rPr>
                <w:t xml:space="preserve">PAF-Safety</w:t>
              </w:r>
            </w:hyperlink>
            <w:r>
              <w:br/>
            </w:r>
            <w:r>
              <w:rPr>
                <w:rStyle w:val="row-content"/>
              </w:rPr>
              <w:t xml:space="preserve"> </w:t>
            </w:r>
          </w:p>
          <w:p>
            <w:pPr>
              <w:pStyle w:val="ListParagraph"/>
              <w:numPr>
                <w:ilvl w:val="0"/>
                <w:numId w:val="3"/>
              </w:numPr>
            </w:pPr>
            <w:hyperlink w:history="true" r:id="R94aac6a199fe49f2">
              <w:r>
                <w:rPr>
                  <w:rStyle w:val="Hyperlink"/>
                </w:rPr>
                <w:t xml:space="preserve">PAF-Sustainability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c7ecc6d062446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05dd13668e0495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505586ba5594643">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56662b81b5fe4636">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bl>
    <w:p>
      <w:r>
        <w:br/>
      </w:r>
    </w:p>
    <w:sectPr>
      <w:footerReference xmlns:r="http://schemas.openxmlformats.org/officeDocument/2006/relationships" w:type="default" r:id="Rdb8ba3b7320048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527720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26b9d7ecf348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8ba3b732004822" /><Relationship Type="http://schemas.openxmlformats.org/officeDocument/2006/relationships/header" Target="/word/header1.xml" Id="R38b787b5a17643cf" /><Relationship Type="http://schemas.openxmlformats.org/officeDocument/2006/relationships/settings" Target="/word/settings.xml" Id="R6fdae67ac9af41cb" /><Relationship Type="http://schemas.openxmlformats.org/officeDocument/2006/relationships/styles" Target="/word/styles.xml" Id="R86d3c5e9fba44417" /><Relationship Type="http://schemas.openxmlformats.org/officeDocument/2006/relationships/hyperlink" Target="https://meteor.aihw.gov.au/RegistrationAuthority/8" TargetMode="External" Id="Rcf247d2200d54002" /><Relationship Type="http://schemas.openxmlformats.org/officeDocument/2006/relationships/hyperlink" Target="https://meteor.aihw.gov.au/content/550329" TargetMode="External" Id="R077d674985574fa4" /><Relationship Type="http://schemas.openxmlformats.org/officeDocument/2006/relationships/hyperlink" Target="https://meteor.aihw.gov.au/RegistrationAuthority/8" TargetMode="External" Id="Red10baf42bf644e3" /><Relationship Type="http://schemas.openxmlformats.org/officeDocument/2006/relationships/numbering" Target="/word/numbering.xml" Id="R40d8f360fbaf4ace" /><Relationship Type="http://schemas.openxmlformats.org/officeDocument/2006/relationships/hyperlink" Target="https://meteor.aihw.gov.au/content/303794" TargetMode="External" Id="R205a1e7c2e134898" /><Relationship Type="http://schemas.openxmlformats.org/officeDocument/2006/relationships/hyperlink" Target="https://meteor.aihw.gov.au/content/394490" TargetMode="External" Id="Rda066bc0580c47b5" /><Relationship Type="http://schemas.openxmlformats.org/officeDocument/2006/relationships/hyperlink" Target="https://meteor.aihw.gov.au/content/550821" TargetMode="External" Id="Rd2018dcd75934029" /><Relationship Type="http://schemas.openxmlformats.org/officeDocument/2006/relationships/hyperlink" Target="https://meteor.aihw.gov.au/content/394490" TargetMode="External" Id="Rbe7b6da1d0e644ed" /><Relationship Type="http://schemas.openxmlformats.org/officeDocument/2006/relationships/hyperlink" Target="https://meteor.aihw.gov.au/content/550825" TargetMode="External" Id="Rd61751259c174d07" /><Relationship Type="http://schemas.openxmlformats.org/officeDocument/2006/relationships/hyperlink" Target="https://meteor.aihw.gov.au/content/394490" TargetMode="External" Id="Rc4a642aaaa034f25" /><Relationship Type="http://schemas.openxmlformats.org/officeDocument/2006/relationships/hyperlink" Target="https://meteor.aihw.gov.au/content/303794" TargetMode="External" Id="R78bc23642a584530" /><Relationship Type="http://schemas.openxmlformats.org/officeDocument/2006/relationships/hyperlink" Target="https://meteor.aihw.gov.au/content/393625" TargetMode="External" Id="R26047e20bbf9493f" /><Relationship Type="http://schemas.openxmlformats.org/officeDocument/2006/relationships/hyperlink" Target="https://meteor.aihw.gov.au/content/287316" TargetMode="External" Id="R126c441c4a0b40a4" /><Relationship Type="http://schemas.openxmlformats.org/officeDocument/2006/relationships/hyperlink" Target="https://meteor.aihw.gov.au/content/513288" TargetMode="External" Id="R25d7c8ff8f234c2f" /><Relationship Type="http://schemas.openxmlformats.org/officeDocument/2006/relationships/hyperlink" Target="https://meteor.aihw.gov.au/content/550733" TargetMode="External" Id="Ree850afa14a34f47" /><Relationship Type="http://schemas.openxmlformats.org/officeDocument/2006/relationships/hyperlink" Target="https://meteor.aihw.gov.au/content/554925" TargetMode="External" Id="Rca699d2223ea4b47" /><Relationship Type="http://schemas.openxmlformats.org/officeDocument/2006/relationships/hyperlink" Target="https://meteor.aihw.gov.au/content/554929" TargetMode="External" Id="Rbea08884b39f4ba1" /><Relationship Type="http://schemas.openxmlformats.org/officeDocument/2006/relationships/hyperlink" Target="https://meteor.aihw.gov.au/content/554928" TargetMode="External" Id="Rbbd138042b704994" /><Relationship Type="http://schemas.openxmlformats.org/officeDocument/2006/relationships/hyperlink" Target="https://meteor.aihw.gov.au/content/554930" TargetMode="External" Id="Rdf34f87833144586" /><Relationship Type="http://schemas.openxmlformats.org/officeDocument/2006/relationships/hyperlink" Target="https://meteor.aihw.gov.au/content/554934" TargetMode="External" Id="Rcd079c3ffc974dc8" /><Relationship Type="http://schemas.openxmlformats.org/officeDocument/2006/relationships/hyperlink" Target="https://meteor.aihw.gov.au/content/554935" TargetMode="External" Id="R51719ad77a1e4c49" /><Relationship Type="http://schemas.openxmlformats.org/officeDocument/2006/relationships/hyperlink" Target="https://meteor.aihw.gov.au/content/554933" TargetMode="External" Id="Ra0868117b9d74005" /><Relationship Type="http://schemas.openxmlformats.org/officeDocument/2006/relationships/hyperlink" Target="https://meteor.aihw.gov.au/content/554932" TargetMode="External" Id="Rad1bafa9d9134b11" /><Relationship Type="http://schemas.openxmlformats.org/officeDocument/2006/relationships/hyperlink" Target="https://meteor.aihw.gov.au/content/554931" TargetMode="External" Id="R94aac6a199fe49f2" /><Relationship Type="http://schemas.openxmlformats.org/officeDocument/2006/relationships/hyperlink" Target="https://meteor.aihw.gov.au/content/393625" TargetMode="External" Id="Ra3c7ecc6d062446e" /><Relationship Type="http://schemas.openxmlformats.org/officeDocument/2006/relationships/hyperlink" Target="https://meteor.aihw.gov.au/content/449216" TargetMode="External" Id="Rf05dd13668e04959" /><Relationship Type="http://schemas.openxmlformats.org/officeDocument/2006/relationships/hyperlink" Target="https://meteor.aihw.gov.au/content/394490" TargetMode="External" Id="Rb505586ba5594643" /><Relationship Type="http://schemas.openxmlformats.org/officeDocument/2006/relationships/hyperlink" Target="https://meteor.aihw.gov.au/content/449206" TargetMode="External" Id="R56662b81b5fe4636" /></Relationships>
</file>

<file path=word/_rels/header1.xml.rels>&#65279;<?xml version="1.0" encoding="utf-8"?><Relationships xmlns="http://schemas.openxmlformats.org/package/2006/relationships"><Relationship Type="http://schemas.openxmlformats.org/officeDocument/2006/relationships/image" Target="/media/image.png" Id="Ra026b9d7ecf3484a" /></Relationships>
</file>