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4988cc96334b83"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adults who are overweight or obese,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adults who are overweight or obese,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Adults who are overweight or obese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f7be0a45184a3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adults who are overweight or obese.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8b4b49dfb6e4696">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eb7372040c4a44fb">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was calculated as the sum of calibrated sample weights for adults who were classified as overweight or obese, and who were enumerated within the Medicare local catchment.</w:t>
            </w:r>
          </w:p>
          <w:p>
            <w:pPr>
              <w:spacing w:after="160"/>
            </w:pPr>
            <w:r>
              <w:rPr>
                <w:rStyle w:val="row-content-rich-text"/>
              </w:rPr>
              <w:t xml:space="preserve">The denominator was calculated as the sum of calibrated sample weights for adults who were enumerated within the particular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obesity is defined as a BMI of greater than or equal to 30.00 and overweight is defined as a BMI of 25.00–29.99.</w:t>
            </w:r>
          </w:p>
          <w:p>
            <w:pPr>
              <w:spacing w:after="160"/>
            </w:pPr>
            <w:r>
              <w:rPr>
                <w:rStyle w:val="row-content-rich-text"/>
              </w:rPr>
              <w:t xml:space="preserve">National Health Performance Authority suppression protocols:</w:t>
            </w:r>
          </w:p>
          <w:p>
            <w:pPr>
              <w:pStyle w:val="ListParagraph"/>
              <w:numPr>
                <w:ilvl w:val="0"/>
                <w:numId w:val="2"/>
              </w:numPr>
            </w:pPr>
            <w:r>
              <w:rPr>
                <w:rStyle w:val="row-content-rich-text"/>
              </w:rPr>
              <w:t xml:space="preserve">Additional suppression rules were developed and applied by the National Health Performance Authority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 Data were supressed based on the following rules: </w:t>
            </w:r>
          </w:p>
          <w:p>
            <w:r>
              <w:br/>
            </w:r>
            <w:r>
              <w:rPr>
                <w:rStyle w:val="row-content-rich-text"/>
              </w:rPr>
              <w:t xml:space="preserve">        • Relative Standard Error of 33% or greater, or</w:t>
            </w:r>
            <w:r>
              <w:br/>
            </w:r>
            <w:r>
              <w:rPr>
                <w:rStyle w:val="row-content-rich-text"/>
              </w:rPr>
              <w:t xml:space="preserve">        • Confidence Interval (95%) width of 33% or greater, or</w:t>
            </w:r>
            <w:r>
              <w:br/>
            </w:r>
            <w:r>
              <w:rPr>
                <w:rStyle w:val="row-content-rich-text"/>
              </w:rPr>
              <w:t xml:space="preserve">        •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r>
              <w:br/>
            </w:r>
            <w:r>
              <w:rPr>
                <w:rStyle w:val="row-content-rich-text"/>
              </w:rPr>
              <w:t xml:space="preserve">        •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 </w:t>
            </w:r>
          </w:p>
          <w:p>
            <w:pPr>
              <w:pStyle w:val="ListParagraph"/>
              <w:numPr>
                <w:ilvl w:val="0"/>
                <w:numId w:val="3"/>
              </w:numPr>
            </w:pPr>
            <w:r>
              <w:rPr>
                <w:rStyle w:val="row-content-rich-text"/>
              </w:rPr>
              <w:t xml:space="preserve">For a dichotomous proportion, Relative Standard Error can be defined as the ratio of the standard error and the minimum of the estimate and its complement (100%–estimate).</w:t>
            </w:r>
          </w:p>
          <w:p>
            <w:pPr>
              <w:pStyle w:val="ListParagraph"/>
              <w:numPr>
                <w:ilvl w:val="0"/>
                <w:numId w:val="3"/>
              </w:numPr>
            </w:pPr>
            <w:r>
              <w:rPr>
                <w:rStyle w:val="row-content-rich-text"/>
              </w:rPr>
              <w:t xml:space="preserve">In this context, marginal is defined as within 10% of the 30% limit, or +/- 3%.</w:t>
            </w:r>
          </w:p>
          <w:p>
            <w:pPr>
              <w:pStyle w:val="ListParagraph"/>
              <w:numPr>
                <w:ilvl w:val="0"/>
                <w:numId w:val="3"/>
              </w:numPr>
            </w:pPr>
            <w:r>
              <w:rPr>
                <w:rStyle w:val="row-content-rich-text"/>
              </w:rPr>
              <w:t xml:space="preserve">In this context, statistical significance is defined as at least two standard deviations above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who were classified as overweight or obese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f30667f5f941a6">
              <w:r>
                <w:rPr>
                  <w:rStyle w:val="Hyperlink"/>
                </w:rPr>
                <w:t xml:space="preserve">Adult—body mass index (self-reported), ratio NN[N].N[N]</w:t>
              </w:r>
            </w:hyperlink>
          </w:p>
          <w:p>
            <w:r>
              <w:rPr>
                <w:rStyle w:val="row-content"/>
                <w:b/>
              </w:rPr>
              <w:t xml:space="preserve">Data Source</w:t>
            </w:r>
          </w:p>
          <w:p>
            <w:hyperlink w:history="true" r:id="Rb86886b94acd45a7">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66c1e35fd624745">
              <w:r>
                <w:rPr>
                  <w:rStyle w:val="Hyperlink"/>
                </w:rPr>
                <w:t xml:space="preserve">Person—age, total years N[NN]</w:t>
              </w:r>
            </w:hyperlink>
          </w:p>
          <w:p>
            <w:r>
              <w:rPr>
                <w:rStyle w:val="row-content"/>
                <w:b/>
              </w:rPr>
              <w:t xml:space="preserve">Data Source</w:t>
            </w:r>
          </w:p>
          <w:p>
            <w:hyperlink w:history="true" r:id="R81f14e9f72414e57">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e7dc973dce430f">
              <w:r>
                <w:rPr>
                  <w:rStyle w:val="Hyperlink"/>
                </w:rPr>
                <w:t xml:space="preserve">Person—age, total years N[NN]</w:t>
              </w:r>
            </w:hyperlink>
          </w:p>
          <w:p>
            <w:r>
              <w:rPr>
                <w:rStyle w:val="row-content"/>
                <w:b/>
              </w:rPr>
              <w:t xml:space="preserve">Data Source</w:t>
            </w:r>
          </w:p>
          <w:p>
            <w:hyperlink w:history="true" r:id="R7c57dcc1b4bf401c">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Overweight or obesity</w:t>
            </w:r>
          </w:p>
          <w:p>
            <w:pPr>
              <w:spacing w:after="160"/>
            </w:pPr>
            <w:r>
              <w:rPr>
                <w:rStyle w:val="row-content-rich-text"/>
              </w:rPr>
              <w:t xml:space="preserve">Medicare Local catchments and Medicare Local peer groups  </w:t>
            </w:r>
          </w:p>
          <w:p>
            <w:pPr>
              <w:pStyle w:val="ListParagraph"/>
              <w:numPr>
                <w:ilvl w:val="0"/>
                <w:numId w:val="4"/>
              </w:numPr>
            </w:pPr>
            <w:r>
              <w:rPr>
                <w:rStyle w:val="row-content-rich-text"/>
              </w:rPr>
              <w:t xml:space="preserve">Medicare Locals are primary health care organisations established to improve responsiveness, coordinate primary health care delivery and tackle local health care needs and service gaps. A Medicare Local catchment refers to the geographical area of a Medical Local.</w:t>
            </w:r>
          </w:p>
          <w:p>
            <w:pPr>
              <w:pStyle w:val="ListParagraph"/>
              <w:numPr>
                <w:ilvl w:val="0"/>
                <w:numId w:val="4"/>
              </w:numPr>
            </w:pPr>
            <w:r>
              <w:rPr>
                <w:rStyle w:val="row-content-rich-text"/>
              </w:rPr>
              <w:t xml:space="preserve">Medicare Local peer groups are the grouping of the 61 Medicare Locals into seven peer groups. This grouping was undertaken by the National Health Performance Authority using statistical cluster analysis of 2006 Census based socioeconomic status for each Medicare Local and, 2006 Census based Remoteness Area categories (ABS cat. no. 2039.0). Additional information on the average distance to the closest large city and major hospital (A1 public hospital peer group classification, 2010–11) contributed to the assignment of Medicare Locals to peer groups. Groupings were tested for face validity with a stakeholder group. The National Health Performance Authority has created 7 peer groups: Metro 1 to 3, Regional 1 and 2 and Rural 1 and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1130772a8743fe">
              <w:r>
                <w:rPr>
                  <w:rStyle w:val="Hyperlink"/>
                </w:rPr>
                <w:t xml:space="preserve">Person (address)—Australian postcode (Postcode datafile), code NNN[N]</w:t>
              </w:r>
            </w:hyperlink>
          </w:p>
          <w:p>
            <w:r>
              <w:rPr>
                <w:rStyle w:val="row-content"/>
                <w:b/>
              </w:rPr>
              <w:t xml:space="preserve">Data Source</w:t>
            </w:r>
          </w:p>
          <w:p>
            <w:hyperlink w:history="true" r:id="Rf9494e04e6794623">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f3b90fc841848ae">
              <w:r>
                <w:rPr>
                  <w:rStyle w:val="Hyperlink"/>
                </w:rPr>
                <w:t xml:space="preserve">PAF-Responsiveness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225d22934ee4888">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NHPA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NHPA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NHR_PAF2011</w:t>
            </w:r>
          </w:p>
        </w:tc>
      </w:tr>
    </w:tbl>
    <w:p>
      <w:r>
        <w:br/>
      </w:r>
    </w:p>
    <w:sectPr>
      <w:footerReference xmlns:r="http://schemas.openxmlformats.org/officeDocument/2006/relationships" w:type="default" r:id="R9f5ed46a4b5d46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527650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92a411f3ce44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5ed46a4b5d466c" /><Relationship Type="http://schemas.openxmlformats.org/officeDocument/2006/relationships/header" Target="/word/header1.xml" Id="R5b33909304de4efe" /><Relationship Type="http://schemas.openxmlformats.org/officeDocument/2006/relationships/settings" Target="/word/settings.xml" Id="R77c6ab29a2414682" /><Relationship Type="http://schemas.openxmlformats.org/officeDocument/2006/relationships/styles" Target="/word/styles.xml" Id="R87eec54746504196" /><Relationship Type="http://schemas.openxmlformats.org/officeDocument/2006/relationships/hyperlink" Target="https://meteor.aihw.gov.au/RegistrationAuthority/8" TargetMode="External" Id="R71f7be0a45184a35" /><Relationship Type="http://schemas.openxmlformats.org/officeDocument/2006/relationships/hyperlink" Target="https://meteor.aihw.gov.au/content/550329" TargetMode="External" Id="R28b4b49dfb6e4696" /><Relationship Type="http://schemas.openxmlformats.org/officeDocument/2006/relationships/hyperlink" Target="https://meteor.aihw.gov.au/RegistrationAuthority/8" TargetMode="External" Id="Reb7372040c4a44fb" /><Relationship Type="http://schemas.openxmlformats.org/officeDocument/2006/relationships/numbering" Target="/word/numbering.xml" Id="Rb9c002f7685446bb" /><Relationship Type="http://schemas.openxmlformats.org/officeDocument/2006/relationships/hyperlink" Target="https://meteor.aihw.gov.au/content/270086" TargetMode="External" Id="Ra9f30667f5f941a6" /><Relationship Type="http://schemas.openxmlformats.org/officeDocument/2006/relationships/hyperlink" Target="https://meteor.aihw.gov.au/content/481875" TargetMode="External" Id="Rb86886b94acd45a7" /><Relationship Type="http://schemas.openxmlformats.org/officeDocument/2006/relationships/hyperlink" Target="https://meteor.aihw.gov.au/content/303794" TargetMode="External" Id="R566c1e35fd624745" /><Relationship Type="http://schemas.openxmlformats.org/officeDocument/2006/relationships/hyperlink" Target="https://meteor.aihw.gov.au/content/481875" TargetMode="External" Id="R81f14e9f72414e57" /><Relationship Type="http://schemas.openxmlformats.org/officeDocument/2006/relationships/hyperlink" Target="https://meteor.aihw.gov.au/content/303794" TargetMode="External" Id="Rd7e7dc973dce430f" /><Relationship Type="http://schemas.openxmlformats.org/officeDocument/2006/relationships/hyperlink" Target="https://meteor.aihw.gov.au/content/481875" TargetMode="External" Id="R7c57dcc1b4bf401c" /><Relationship Type="http://schemas.openxmlformats.org/officeDocument/2006/relationships/hyperlink" Target="https://meteor.aihw.gov.au/content/270515" TargetMode="External" Id="R421130772a8743fe" /><Relationship Type="http://schemas.openxmlformats.org/officeDocument/2006/relationships/hyperlink" Target="https://meteor.aihw.gov.au/content/481875" TargetMode="External" Id="Rf9494e04e6794623" /><Relationship Type="http://schemas.openxmlformats.org/officeDocument/2006/relationships/hyperlink" Target="https://meteor.aihw.gov.au/content/554933" TargetMode="External" Id="Raf3b90fc841848ae" /><Relationship Type="http://schemas.openxmlformats.org/officeDocument/2006/relationships/hyperlink" Target="https://meteor.aihw.gov.au/content/481875" TargetMode="External" Id="R9225d22934ee4888" /></Relationships>
</file>

<file path=word/_rels/header1.xml.rels>&#65279;<?xml version="1.0" encoding="utf-8"?><Relationships xmlns="http://schemas.openxmlformats.org/package/2006/relationships"><Relationship Type="http://schemas.openxmlformats.org/officeDocument/2006/relationships/image" Target="/media/image.png" Id="Ref92a411f3ce44d9" /></Relationships>
</file>