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314c98f1354b3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00ed2032040b0">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(ICD-10 chapter level), by Indigenous status.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7900a517dd4e98">
              <w:r>
                <w:rPr>
                  <w:rStyle w:val="Hyperlink"/>
                </w:rPr>
                <w:t xml:space="preserve">National Indigenous Reform Agreement (2014)</w:t>
              </w:r>
            </w:hyperlink>
          </w:p>
          <w:p>
            <w:pPr>
              <w:spacing w:before="0" w:after="0"/>
            </w:pPr>
            <w:r>
              <w:rPr>
                <w:rStyle w:val="row-content"/>
                <w:color w:val="244061"/>
              </w:rPr>
              <w:t xml:space="preserve">       </w:t>
            </w:r>
            <w:hyperlink w:history="true" r:id="Rb6ce4cf63f1a44a7">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6c165d7e0fc44a2">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c0c6ed5175f549a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095cefbc22d4c2b">
              <w:r>
                <w:rPr>
                  <w:rStyle w:val="Hyperlink"/>
                </w:rPr>
                <w:t xml:space="preserve">National Indigenous Reform Agreement: PI 06-Under five mortality rate by leading cause, 2014 QS</w:t>
              </w:r>
            </w:hyperlink>
          </w:p>
          <w:p>
            <w:pPr>
              <w:spacing w:before="0" w:after="0"/>
            </w:pPr>
            <w:r>
              <w:rPr>
                <w:rStyle w:val="row-content"/>
                <w:color w:val="244061"/>
              </w:rPr>
              <w:t xml:space="preserve">       </w:t>
            </w:r>
            <w:hyperlink w:history="true" r:id="Raafdff1f3c394ae7">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400g birth 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years: From 1 year of age to less than 5 years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Presentation:</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 </w:t>
            </w:r>
          </w:p>
          <w:p>
            <w:pPr>
              <w:spacing w:after="160"/>
            </w:pPr>
            <w:r>
              <w:rPr>
                <w:rStyle w:val="row-content-rich-text"/>
              </w:rPr>
              <w:t xml:space="preserve">Note: causes to be listed from highest to lowest Indigenous percentage.</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r>
              <w:rPr>
                <w:rStyle w:val="row-content-rich-text"/>
              </w:rPr>
              <w:t xml:space="preserve">:</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 weight of at least 400 grams).</w:t>
            </w:r>
          </w:p>
          <w:p>
            <w:pPr>
              <w:spacing w:after="160"/>
            </w:pPr>
            <w:r>
              <w:rPr>
                <w:rStyle w:val="row-content-rich-text"/>
              </w:rPr>
              <w:t xml:space="preserve">‘Leading causes of death’ are ICD-10 codes used for leading causes of death in the Aboriginal and Torres Strait Islander Health Performance Framework:</w:t>
            </w:r>
          </w:p>
          <w:p>
            <w:pPr>
              <w:spacing w:after="160"/>
            </w:pPr>
            <w:r>
              <w:rPr>
                <w:rStyle w:val="row-content-rich-text"/>
                <w:u w:val="single"/>
              </w:rPr>
              <w:t xml:space="preserve">Perinatal mortality:</w:t>
            </w:r>
          </w:p>
          <w:p>
            <w:pPr>
              <w:spacing w:after="160"/>
            </w:pPr>
            <w:r>
              <w:rPr>
                <w:rStyle w:val="row-content-rich-text"/>
              </w:rPr>
              <w:t xml:space="preserve">Main condition in the fetus/infant:</w:t>
            </w:r>
          </w:p>
          <w:p>
            <w:pPr>
              <w:spacing w:after="160"/>
            </w:pPr>
            <w:r>
              <w:rPr>
                <w:rStyle w:val="row-content-rich-text"/>
              </w:rPr>
              <w:t xml:space="preserve">Other conditions originating in the perinatal period (P10-P15 and P50-P96); Disorders related to length of gestation and fetal growth (P05-P08); Congenital malformations, deformations and chromosomal abnormalities (Q00-Q99); Respiratory and cardiovascular disorders specific to the perinatal period (P20-P29); Infections specific to the perinatal period (P35-P39); Other conditions; Total deaths.</w:t>
            </w:r>
          </w:p>
          <w:p>
            <w:pPr>
              <w:spacing w:after="160"/>
            </w:pPr>
            <w:r>
              <w:rPr>
                <w:rStyle w:val="row-content-rich-text"/>
              </w:rPr>
              <w:t xml:space="preserve">Main condition in the mother, fetus and newborn affected by:</w:t>
            </w:r>
          </w:p>
          <w:p>
            <w:pPr>
              <w:spacing w:after="160"/>
            </w:pPr>
            <w:r>
              <w:rPr>
                <w:rStyle w:val="row-content-rich-text"/>
              </w:rPr>
              <w:t xml:space="preserve">Complications of placenta, cord and membranes (P02); Maternal complications of pregnancy (P01); Maternal conditions that may be unrelated to present pregnancy (P00); Other complications of labour and delivery and noxious influences transmitted via placenta or breast milk (P03-P04); Total deaths.</w:t>
            </w:r>
          </w:p>
          <w:p>
            <w:pPr>
              <w:spacing w:after="160"/>
            </w:pPr>
            <w:r>
              <w:rPr>
                <w:rStyle w:val="row-content-rich-text"/>
                <w:u w:val="single"/>
              </w:rPr>
              <w:t xml:space="preserve">Infant mortality:</w:t>
            </w:r>
          </w:p>
          <w:p>
            <w:pPr>
              <w:spacing w:after="160"/>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Sudden infant death syndrome (R95);  Injury and poisoning (V01–Y99); Diseases of the respiratory system (J00-J99); Diseases of the circulatory system (I00-I99); Certain infectious and parasitic diseases (A00-B99); Other causes; All causes.</w:t>
            </w:r>
          </w:p>
          <w:p>
            <w:pPr>
              <w:spacing w:after="160"/>
            </w:pPr>
            <w:r>
              <w:rPr>
                <w:rStyle w:val="row-content-rich-text"/>
                <w:u w:val="single"/>
              </w:rPr>
              <w:t xml:space="preserve">Child 1-4 mortality:</w:t>
            </w:r>
          </w:p>
          <w:p>
            <w:pPr>
              <w:spacing w:after="160"/>
            </w:pPr>
            <w:r>
              <w:rPr>
                <w:rStyle w:val="row-content-rich-text"/>
              </w:rPr>
              <w:t xml:space="preserve">Injury and poisoning (V01–Y99); Diseases of the respiratory system (J00-J99); Congenital malformations, deformations and chromosomal abnormalities (Q00-Q99); Diseases of the nervous system (G00-G99); Diseases of the circulatory system (I00-I99); Certain infectious and parasitic diseases (A00-B99); Certain conditions originating in the perinatal period (P00-P96); Symptoms, signs and abnormal clinical and laboratory findings, not elsewhere classified (R00-R99); Other causes; All causes.</w:t>
            </w:r>
          </w:p>
          <w:p>
            <w:pPr>
              <w:spacing w:after="160"/>
            </w:pPr>
            <w:r>
              <w:rPr>
                <w:rStyle w:val="row-content-rich-text"/>
                <w:u w:val="single"/>
              </w:rPr>
              <w:t xml:space="preserve">Child 0-4 mortality:</w:t>
            </w:r>
          </w:p>
          <w:p>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Injury and poisoning (V01–Y99); Diseases of the respiratory system (J00-J99); Diseases of the circulatory system (I00-I99); Diseases of the nervous system (G00-G99); Certain infectious and parasitic diseases (A00-B99); Other causes; 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u w:val="single"/>
              </w:rPr>
              <w:t xml:space="preserve"> </w:t>
            </w:r>
          </w:p>
          <w:p>
            <w:pPr>
              <w:spacing w:after="160"/>
            </w:pPr>
            <w:r>
              <w:rPr>
                <w:rStyle w:val="row-content-rich-text"/>
                <w:b/>
                <w:u w:val="single"/>
              </w:rPr>
              <w:t xml:space="preserve"> </w:t>
            </w:r>
          </w:p>
          <w:p>
            <w:hyperlink w:history="true" r:id="Rbb8f662fc2f646c0">
              <w:r>
                <w:drawing>
                  <wp:inline xmlns:wp="http://schemas.openxmlformats.org/drawingml/2006/wordprocessingDrawing" distT="0" distB="0" distL="0" distR="0">
                    <wp:extent cx="3095625" cy="742950"/>
                    <wp:effectExtent l="19050" t="0" r="0" b="0"/>
                    <wp:docPr id="2" name="Picture 2" descr="">
                      <a:hlinkClick xmlns:a="http://schemas.openxmlformats.org/drawingml/2006/main" r:id="Rbb8f662fc2f646c0"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6eb12309ad14ec3"/>
                            <a:srcRect/>
                            <a:stretch>
                              <a:fillRect/>
                            </a:stretch>
                          </pic:blipFill>
                          <pic:spPr bwMode="auto">
                            <a:xfrm>
                              <a:off x="0" y="0"/>
                              <a:ext cx="3095625" cy="742950"/>
                            </a:xfrm>
                            <a:prstGeom prst="rect">
                              <a:avLst/>
                            </a:prstGeom>
                          </pic:spPr>
                        </pic:pic>
                      </a:graphicData>
                    </a:graphic>
                  </wp:inline>
                </w:drawing>
              </w:r>
            </w:hyperlink>
          </w:p>
          <w:p>
            <w:pPr>
              <w:spacing w:after="160"/>
            </w:pPr>
            <w:r>
              <w:rPr>
                <w:rStyle w:val="row-content-rich-text"/>
                <w:b/>
                <w:u w:val="single"/>
              </w:rPr>
              <w:t xml:space="preserve">Where </w:t>
            </w:r>
            <w:r>
              <w:rPr>
                <w:rStyle w:val="row-content-rich-text"/>
                <w:b/>
                <w:i/>
                <w:u w:val="single"/>
              </w:rPr>
              <w:t xml:space="preserve">p</w:t>
            </w:r>
            <w:r>
              <w:rPr>
                <w:rStyle w:val="row-content-rich-text"/>
                <w:b/>
                <w:u w:val="single"/>
              </w:rPr>
              <w:t xml:space="preserve"> = mortality rate</w:t>
            </w:r>
          </w:p>
          <w:p>
            <w:pPr>
              <w:spacing w:after="160"/>
            </w:pPr>
            <w:r>
              <w:rPr>
                <w:rStyle w:val="row-content-rich-text"/>
                <w:b/>
                <w:i/>
                <w:u w:val="single"/>
              </w:rPr>
              <w:t xml:space="preserve">q</w:t>
            </w:r>
            <w:r>
              <w:rPr>
                <w:rStyle w:val="row-content-rich-text"/>
                <w:b/>
                <w:u w:val="single"/>
              </w:rPr>
              <w:t xml:space="preserve"> = 1-</w:t>
            </w:r>
            <w:r>
              <w:rPr>
                <w:rStyle w:val="row-content-rich-text"/>
                <w:b/>
                <w:i/>
                <w:u w:val="single"/>
              </w:rPr>
              <w:t xml:space="preserve">p</w:t>
            </w:r>
          </w:p>
          <w:p>
            <w:pPr>
              <w:spacing w:after="160"/>
            </w:pPr>
            <w:r>
              <w:rPr>
                <w:rStyle w:val="row-content-rich-text"/>
                <w:b/>
                <w:i/>
                <w:u w:val="single"/>
              </w:rPr>
              <w:t xml:space="preserve">n</w:t>
            </w:r>
            <w:r>
              <w:rPr>
                <w:rStyle w:val="row-content-rich-text"/>
                <w:b/>
                <w:u w:val="single"/>
              </w:rPr>
              <w:t xml:space="preserve"> = denominator used to calculate mortality rate. </w:t>
            </w:r>
          </w:p>
          <w:p>
            <w:pPr>
              <w:spacing w:after="160"/>
            </w:pPr>
            <w:r>
              <w:rPr>
                <w:rStyle w:val="row-content-rich-text"/>
                <w:b/>
                <w:u w:val="single"/>
              </w:rPr>
              <w:t xml:space="preserve">Percentage change</w:t>
            </w:r>
            <w:r>
              <w:rPr>
                <w:rStyle w:val="row-content-rich-text"/>
                <w:b/>
                <w:u w:val="single"/>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b/>
                <w:u w:val="single"/>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u w:val="single"/>
              </w:rPr>
              <w:t xml:space="preserve">LINEST (known_y’s, known_x’s, true) entered as an array formula (Ctrl, Shift, Enter).</w:t>
            </w:r>
          </w:p>
          <w:p>
            <w:pPr>
              <w:spacing w:after="160"/>
            </w:pPr>
            <w:r>
              <w:rPr>
                <w:rStyle w:val="row-content-rich-text"/>
                <w:b/>
                <w:u w:val="single"/>
              </w:rPr>
              <w:t xml:space="preserve">Statistical significance of change</w:t>
            </w:r>
            <w:r>
              <w:rPr>
                <w:rStyle w:val="row-content-rich-text"/>
                <w:b/>
                <w:u w:val="single"/>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u w:val="single"/>
              </w:rPr>
              <w:t xml:space="preserve">95% CI(x)</w:t>
            </w:r>
            <w:r>
              <w:rPr>
                <w:rStyle w:val="row-content-rich-text"/>
                <w:b/>
                <w:u w:val="single"/>
              </w:rPr>
              <w:t xml:space="preserve"> = </w:t>
            </w:r>
            <w:r>
              <w:rPr>
                <w:rStyle w:val="row-content-rich-text"/>
                <w:b/>
                <w:i/>
                <w:u w:val="single"/>
              </w:rPr>
              <w:t xml:space="preserve">x</w:t>
            </w:r>
            <w:r>
              <w:rPr>
                <w:rStyle w:val="row-content-rich-text"/>
                <w:b/>
                <w:u w:val="single"/>
              </w:rPr>
              <w:t xml:space="preserve"> ± 1.96 x </w:t>
            </w:r>
            <w:r>
              <w:rPr>
                <w:rStyle w:val="row-content-rich-text"/>
                <w:b/>
                <w:i/>
                <w:u w:val="single"/>
              </w:rPr>
              <w:t xml:space="preserve">SE(x)</w:t>
            </w:r>
          </w:p>
          <w:p>
            <w:pPr>
              <w:spacing w:after="160"/>
            </w:pPr>
            <w:r>
              <w:rPr>
                <w:rStyle w:val="row-content-rich-text"/>
                <w:b/>
                <w:u w:val="single"/>
              </w:rPr>
              <w:t xml:space="preserve">where x is the average annual change (slope estimate).</w:t>
            </w:r>
          </w:p>
          <w:p>
            <w:pPr>
              <w:spacing w:after="160"/>
            </w:pPr>
            <w:r>
              <w:rPr>
                <w:rStyle w:val="row-content-rich-text"/>
                <w:b/>
                <w:u w:val="single"/>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u w:val="single"/>
              </w:rPr>
              <w:t xml:space="preserve">Definitions</w:t>
            </w:r>
            <w:r>
              <w:rPr>
                <w:rStyle w:val="row-content-rich-text"/>
                <w:b/>
                <w:u w:val="single"/>
              </w:rPr>
              <w:t xml:space="preserve">:</w:t>
            </w:r>
          </w:p>
          <w:p>
            <w:pPr/>
            <w:r>
              <w:rPr>
                <w:rStyle w:val="row-content-rich-text"/>
                <w:b/>
                <w:u w:val="single"/>
              </w:rPr>
              <w:t xml:space="preserve">‘Perinatal mortality’ is defined in the ABS Perinatals Collection as death of a baby within 28 days of birth (neonatal death) or of a fetus (unborn child) of at least 20 completed weeks of gestation or with a birth 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fetal and neonatal deaths</w:t>
            </w:r>
          </w:p>
          <w:p>
            <w:r>
              <w:rPr>
                <w:rStyle w:val="row-content"/>
                <w:b/>
              </w:rPr>
              <w:t xml:space="preserve">Data Source</w:t>
            </w:r>
          </w:p>
          <w:p>
            <w:hyperlink w:history="true" r:id="R7b9388875a6d4adf">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772c674aaeea493c">
              <w:r>
                <w:rPr>
                  <w:rStyle w:val="Hyperlink"/>
                </w:rPr>
                <w:t xml:space="preserve">Birth—birth status, code N</w:t>
              </w:r>
            </w:hyperlink>
          </w:p>
          <w:p>
            <w:r>
              <w:rPr>
                <w:rStyle w:val="row-content"/>
                <w:b/>
              </w:rPr>
              <w:t xml:space="preserve">Data Source</w:t>
            </w:r>
          </w:p>
          <w:p>
            <w:hyperlink w:history="true" r:id="Rdf679eee03124d85">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12ed3d87ddfd437c">
              <w:r>
                <w:rPr>
                  <w:rStyle w:val="Hyperlink"/>
                </w:rPr>
                <w:t xml:space="preserve">Person—date of birth, DDMMYYYY</w:t>
              </w:r>
            </w:hyperlink>
          </w:p>
          <w:p>
            <w:r>
              <w:rPr>
                <w:rStyle w:val="row-content"/>
                <w:b/>
              </w:rPr>
              <w:t xml:space="preserve">Data Source</w:t>
            </w:r>
          </w:p>
          <w:p>
            <w:hyperlink w:history="true" r:id="R308d58af922f4fb7">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f0e276ddfaa54b23">
              <w:r>
                <w:rPr>
                  <w:rStyle w:val="Hyperlink"/>
                </w:rPr>
                <w:t xml:space="preserve">Person—date of death, DDMMYYYY</w:t>
              </w:r>
            </w:hyperlink>
          </w:p>
          <w:p>
            <w:r>
              <w:rPr>
                <w:rStyle w:val="row-content"/>
                <w:b/>
              </w:rPr>
              <w:t xml:space="preserve">Data Source</w:t>
            </w:r>
          </w:p>
          <w:p>
            <w:hyperlink w:history="true" r:id="Re941b68ed8e147f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8f57f18a3bd647c8">
              <w:r>
                <w:rPr>
                  <w:rStyle w:val="Hyperlink"/>
                </w:rPr>
                <w:t xml:space="preserve">Person—age, total years N[NN]</w:t>
              </w:r>
            </w:hyperlink>
          </w:p>
          <w:p>
            <w:r>
              <w:rPr>
                <w:rStyle w:val="row-content"/>
                <w:b/>
              </w:rPr>
              <w:t xml:space="preserve">Data Source</w:t>
            </w:r>
          </w:p>
          <w:p>
            <w:hyperlink w:history="true" r:id="R59ee739234254b37">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2c5637d40e4dfd">
              <w:r>
                <w:rPr>
                  <w:rStyle w:val="Hyperlink"/>
                </w:rPr>
                <w:t xml:space="preserve">Birth—birth status, code N</w:t>
              </w:r>
            </w:hyperlink>
          </w:p>
          <w:p>
            <w:r>
              <w:rPr>
                <w:rStyle w:val="row-content"/>
                <w:b/>
              </w:rPr>
              <w:t xml:space="preserve">Data Source</w:t>
            </w:r>
          </w:p>
          <w:p>
            <w:hyperlink w:history="true" r:id="R14763baa379a45dc">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hyperlink w:history="true" r:id="R3ddb72746b1d4050">
              <w:r>
                <w:rPr>
                  <w:rStyle w:val="Hyperlink"/>
                </w:rPr>
                <w:t xml:space="preserve">Person—age, total years N[NN]</w:t>
              </w:r>
            </w:hyperlink>
          </w:p>
          <w:p>
            <w:r>
              <w:rPr>
                <w:rStyle w:val="row-content"/>
                <w:b/>
              </w:rPr>
              <w:t xml:space="preserve">Data Source</w:t>
            </w:r>
          </w:p>
          <w:p>
            <w:hyperlink w:history="true" r:id="R939b292da4e04bba">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15dbaee4c083414b">
              <w:r>
                <w:rPr>
                  <w:rStyle w:val="Hyperlink"/>
                </w:rPr>
                <w:t xml:space="preserve">Person—age, total years N[NN]</w:t>
              </w:r>
            </w:hyperlink>
          </w:p>
          <w:p>
            <w:r>
              <w:rPr>
                <w:rStyle w:val="row-content"/>
                <w:b/>
              </w:rPr>
              <w:t xml:space="preserve">Data Source</w:t>
            </w:r>
          </w:p>
          <w:p>
            <w:hyperlink w:history="true" r:id="R6872f3a1c0f34d5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36da77907ee44a97">
              <w:r>
                <w:rPr>
                  <w:rStyle w:val="Hyperlink"/>
                </w:rPr>
                <w:t xml:space="preserve">Person—estimated resident population of Australia, total people N[N(7)]</w:t>
              </w:r>
            </w:hyperlink>
          </w:p>
          <w:p>
            <w:r>
              <w:rPr>
                <w:rStyle w:val="row-content"/>
                <w:b/>
              </w:rPr>
              <w:t xml:space="preserve">Data Source</w:t>
            </w:r>
          </w:p>
          <w:p>
            <w:hyperlink w:history="true" r:id="Ra28a9a48f271427b">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d98081eca0c24bb4">
              <w:r>
                <w:rPr>
                  <w:rStyle w:val="Hyperlink"/>
                </w:rPr>
                <w:t xml:space="preserve">Person—estimated resident population of Australia, total people N[N(7)]</w:t>
              </w:r>
            </w:hyperlink>
          </w:p>
          <w:p>
            <w:r>
              <w:rPr>
                <w:rStyle w:val="row-content"/>
                <w:b/>
              </w:rPr>
              <w:t xml:space="preserve">Data Source</w:t>
            </w:r>
          </w:p>
          <w:p>
            <w:hyperlink w:history="true" r:id="R98df6d175fb142b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Five year aggregate:</w:t>
            </w:r>
          </w:p>
          <w:p>
            <w:pPr>
              <w:pStyle w:val="ListParagraph"/>
              <w:numPr>
                <w:ilvl w:val="0"/>
                <w:numId w:val="3"/>
              </w:numPr>
            </w:pPr>
            <w:r>
              <w:rPr>
                <w:rStyle w:val="row-content-rich-text"/>
              </w:rPr>
              <w:t xml:space="preserve">2007-2011 (perinatal, infant, child 1-4 years, and child 0-4 years by cause, and perinatal all-cause).</w:t>
            </w:r>
          </w:p>
          <w:p>
            <w:pPr>
              <w:pStyle w:val="ListParagraph"/>
              <w:numPr>
                <w:ilvl w:val="0"/>
                <w:numId w:val="3"/>
              </w:numPr>
            </w:pPr>
            <w:r>
              <w:rPr>
                <w:rStyle w:val="row-content-rich-text"/>
              </w:rPr>
              <w:t xml:space="preserve">2008-2012 (infant, child 1-4 years, child 0-4 years all-cause). </w:t>
            </w:r>
          </w:p>
          <w:p>
            <w:pPr>
              <w:spacing w:after="160"/>
            </w:pPr>
            <w:r>
              <w:rPr>
                <w:rStyle w:val="row-content-rich-text"/>
              </w:rPr>
              <w:t xml:space="preserve">For Indigenous and non-Indigenous (numbers, rates, percentage, rate ratios, rate differences, variability bands):</w:t>
            </w:r>
          </w:p>
          <w:p>
            <w:pPr>
              <w:pStyle w:val="ListParagraph"/>
              <w:numPr>
                <w:ilvl w:val="0"/>
                <w:numId w:val="4"/>
              </w:numPr>
            </w:pPr>
            <w:r>
              <w:rPr>
                <w:rStyle w:val="row-content-rich-text"/>
              </w:rPr>
              <w:t xml:space="preserve">National by leading cause of death including total (ICD-10 chapter level and some sub-chapter level) by age group (perinatal, infant, child 1-4 years, and child 0-4 years).</w:t>
            </w:r>
          </w:p>
          <w:p>
            <w:pPr>
              <w:pStyle w:val="ListParagraph"/>
              <w:numPr>
                <w:ilvl w:val="0"/>
                <w:numId w:val="4"/>
              </w:numPr>
            </w:pPr>
            <w:r>
              <w:rPr>
                <w:rStyle w:val="row-content-rich-text"/>
              </w:rPr>
              <w:t xml:space="preserve">National by age group (infant, child 1-4 years, and child 0-4 years): all-cause.</w:t>
            </w:r>
          </w:p>
          <w:p>
            <w:pPr>
              <w:pStyle w:val="ListParagraph"/>
              <w:numPr>
                <w:ilvl w:val="0"/>
                <w:numId w:val="4"/>
              </w:numPr>
            </w:pPr>
            <w:r>
              <w:rPr>
                <w:rStyle w:val="row-content-rich-text"/>
              </w:rPr>
              <w:t xml:space="preserve">State/Territory (including national total) by age group (infant, child 1-4 years, and child 0-4 years): all-cause. </w:t>
            </w:r>
          </w:p>
          <w:p>
            <w:pPr>
              <w:spacing w:after="160"/>
            </w:pPr>
            <w:r>
              <w:rPr>
                <w:rStyle w:val="row-content-rich-text"/>
              </w:rPr>
              <w:t xml:space="preserve">For Indigenous and non-Indigenous (numbers, rates, rate ratios, and rate differences):</w:t>
            </w:r>
          </w:p>
          <w:p>
            <w:pPr>
              <w:pStyle w:val="ListParagraph"/>
              <w:numPr>
                <w:ilvl w:val="0"/>
                <w:numId w:val="5"/>
              </w:numPr>
            </w:pPr>
            <w:r>
              <w:rPr>
                <w:rStyle w:val="row-content-rich-text"/>
              </w:rPr>
              <w:t xml:space="preserve">State and territory (including national total) by age group (perinatal (fetal, neonatal and total perinatal), infant, child 1-4 years and child 0-4 years).</w:t>
            </w:r>
          </w:p>
          <w:p>
            <w:pPr>
              <w:pStyle w:val="ListParagraph"/>
              <w:numPr>
                <w:ilvl w:val="0"/>
                <w:numId w:val="5"/>
              </w:numPr>
            </w:pPr>
            <w:r>
              <w:rPr>
                <w:rStyle w:val="row-content-rich-text"/>
              </w:rPr>
              <w:t xml:space="preserve">National by age group (infant, child 1-4 years, and child 0-4 years): all-cause.</w:t>
            </w:r>
          </w:p>
          <w:p>
            <w:pPr>
              <w:pStyle w:val="ListParagraph"/>
              <w:numPr>
                <w:ilvl w:val="0"/>
                <w:numId w:val="5"/>
              </w:numPr>
            </w:pPr>
            <w:r>
              <w:rPr>
                <w:rStyle w:val="row-content-rich-text"/>
              </w:rPr>
              <w:t xml:space="preserve">State/Territory (including national total) by age group (infant, child 1-4 years, and child 0-4 years): all-cause.</w:t>
            </w:r>
          </w:p>
          <w:p>
            <w:pPr>
              <w:spacing w:after="160"/>
            </w:pPr>
            <w:r>
              <w:rPr>
                <w:rStyle w:val="row-content-rich-text"/>
                <w:b/>
              </w:rPr>
              <w:t xml:space="preserve">Time series:</w:t>
            </w:r>
          </w:p>
          <w:p>
            <w:pPr>
              <w:spacing w:after="160"/>
            </w:pPr>
            <w:r>
              <w:rPr>
                <w:rStyle w:val="row-content-rich-text"/>
              </w:rPr>
              <w:t xml:space="preserve">Single year data:</w:t>
            </w:r>
          </w:p>
          <w:p>
            <w:pPr>
              <w:pStyle w:val="ListParagraph"/>
              <w:numPr>
                <w:ilvl w:val="0"/>
                <w:numId w:val="6"/>
              </w:numPr>
            </w:pPr>
            <w:r>
              <w:rPr>
                <w:rStyle w:val="row-content-rich-text"/>
              </w:rPr>
              <w:t xml:space="preserve">2007, 2008, 2009, 2010, 2011, and 2012 (by all-cause for infant and child 0-4 years).</w:t>
            </w:r>
          </w:p>
          <w:p>
            <w:pPr>
              <w:pStyle w:val="ListParagraph"/>
              <w:numPr>
                <w:ilvl w:val="0"/>
                <w:numId w:val="6"/>
              </w:numPr>
            </w:pPr>
            <w:r>
              <w:rPr>
                <w:rStyle w:val="row-content-rich-text"/>
              </w:rPr>
              <w:t xml:space="preserve">2007, 2008, 2009, 2010, and 2011 (by all-cause for perinatal). </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7"/>
              </w:numPr>
            </w:pPr>
            <w:r>
              <w:rPr>
                <w:rStyle w:val="row-content-rich-text"/>
              </w:rPr>
              <w:t xml:space="preserve">National by age group (perinatal, infant, and child 0-4 years).</w:t>
            </w:r>
          </w:p>
          <w:p>
            <w:pPr>
              <w:pStyle w:val="ListParagraph"/>
              <w:numPr>
                <w:ilvl w:val="0"/>
                <w:numId w:val="7"/>
              </w:numPr>
            </w:pPr>
            <w:r>
              <w:rPr>
                <w:rStyle w:val="row-content-rich-text"/>
              </w:rPr>
              <w:t xml:space="preserve">National by age group (perinatal, infant, and child 0-4 years) by remoteness: all-cause.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0ac46332c44081">
              <w:r>
                <w:rPr>
                  <w:rStyle w:val="Hyperlink"/>
                </w:rPr>
                <w:t xml:space="preserve">Person—Indigenous status, code N</w:t>
              </w:r>
            </w:hyperlink>
          </w:p>
          <w:p>
            <w:r>
              <w:rPr>
                <w:rStyle w:val="row-content"/>
                <w:b/>
              </w:rPr>
              <w:t xml:space="preserve">Data Source</w:t>
            </w:r>
          </w:p>
          <w:p>
            <w:hyperlink w:history="true" r:id="R9d5fa8a7deeb437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e0db4a2d9c14a76">
              <w:r>
                <w:rPr>
                  <w:rStyle w:val="Hyperlink"/>
                </w:rPr>
                <w:t xml:space="preserve">Person—Indigenous status, code N</w:t>
              </w:r>
            </w:hyperlink>
          </w:p>
          <w:p>
            <w:r>
              <w:rPr>
                <w:rStyle w:val="row-content"/>
                <w:b/>
              </w:rPr>
              <w:t xml:space="preserve">Data Source</w:t>
            </w:r>
          </w:p>
          <w:p>
            <w:hyperlink w:history="true" r:id="Rd5b5b4587bed48b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3713a28e4d84dc4">
              <w:r>
                <w:rPr>
                  <w:rStyle w:val="Hyperlink"/>
                </w:rPr>
                <w:t xml:space="preserve">Person—Indigenous status, code N</w:t>
              </w:r>
            </w:hyperlink>
          </w:p>
          <w:p>
            <w:r>
              <w:rPr>
                <w:rStyle w:val="row-content"/>
                <w:b/>
              </w:rPr>
              <w:t xml:space="preserve">Data Source</w:t>
            </w:r>
          </w:p>
          <w:p>
            <w:hyperlink w:history="true" r:id="Rfbd13550d3e6448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29f05d23cb54f59">
              <w:r>
                <w:rPr>
                  <w:rStyle w:val="Hyperlink"/>
                </w:rPr>
                <w:t xml:space="preserve">Person—underlying cause of death, code (ICD-10 2nd edn) ANN-ANN</w:t>
              </w:r>
            </w:hyperlink>
          </w:p>
          <w:p>
            <w:r>
              <w:rPr>
                <w:rStyle w:val="row-content"/>
                <w:b/>
              </w:rPr>
              <w:t xml:space="preserve">Data Source</w:t>
            </w:r>
          </w:p>
          <w:p>
            <w:hyperlink w:history="true" r:id="R930a33df0d0c4df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b05cb91863c4d51">
              <w:r>
                <w:rPr>
                  <w:rStyle w:val="Hyperlink"/>
                </w:rPr>
                <w:t xml:space="preserve">Person—underlying cause of death, code (ICD-10 2nd edn) ANN-ANN</w:t>
              </w:r>
            </w:hyperlink>
          </w:p>
          <w:p>
            <w:r>
              <w:rPr>
                <w:rStyle w:val="row-content"/>
                <w:b/>
              </w:rPr>
              <w:t xml:space="preserve">Data Source</w:t>
            </w:r>
          </w:p>
          <w:p>
            <w:hyperlink w:history="true" r:id="Rc0f050b6a04b4151">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95d1b36591b44af">
              <w:r>
                <w:rPr>
                  <w:rStyle w:val="Hyperlink"/>
                </w:rPr>
                <w:t xml:space="preserve">Person—area of usual residence, statistical area level 2 (SA2) code (ASGS 2011) N(9)</w:t>
              </w:r>
            </w:hyperlink>
          </w:p>
          <w:p>
            <w:r>
              <w:rPr>
                <w:rStyle w:val="row-content"/>
                <w:b/>
              </w:rPr>
              <w:t xml:space="preserve">Data Source</w:t>
            </w:r>
          </w:p>
          <w:p>
            <w:hyperlink w:history="true" r:id="Read937ff8d5040f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da5bc8ce723467e">
              <w:r>
                <w:rPr>
                  <w:rStyle w:val="Hyperlink"/>
                </w:rPr>
                <w:t xml:space="preserve">Person—area of usual residence, statistical area level 2 (SA2) code (ASGS 2011) N(9)</w:t>
              </w:r>
            </w:hyperlink>
          </w:p>
          <w:p>
            <w:r>
              <w:rPr>
                <w:rStyle w:val="row-content"/>
                <w:b/>
              </w:rPr>
              <w:t xml:space="preserve">Data Source</w:t>
            </w:r>
          </w:p>
          <w:p>
            <w:hyperlink w:history="true" r:id="Rdc135d4473f948d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b72b4e362af43df">
              <w:r>
                <w:rPr>
                  <w:rStyle w:val="Hyperlink"/>
                </w:rPr>
                <w:t xml:space="preserve">Person—area of usual residence, statistical area level 2 (SA2) code (ASGS 2011) N(9)</w:t>
              </w:r>
            </w:hyperlink>
          </w:p>
          <w:p>
            <w:r>
              <w:rPr>
                <w:rStyle w:val="row-content"/>
                <w:b/>
              </w:rPr>
              <w:t xml:space="preserve">Data Source</w:t>
            </w:r>
          </w:p>
          <w:p>
            <w:hyperlink w:history="true" r:id="Rcaadf0a4bd6843b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2012 for infant and child all-cause mortality and 2011 for perinatal data and cause of death data.</w:t>
            </w:r>
          </w:p>
          <w:p>
            <w:pPr>
              <w:spacing w:after="160"/>
            </w:pPr>
            <w:r>
              <w:rPr>
                <w:rStyle w:val="row-content-rich-text"/>
              </w:rPr>
              <w:t xml:space="preserve">Data are by reference year.</w:t>
            </w:r>
          </w:p>
          <w:p>
            <w:pPr>
              <w:spacing w:after="160"/>
            </w:pPr>
            <w:r>
              <w:rPr>
                <w:rStyle w:val="row-content-rich-text"/>
              </w:rPr>
              <w:t xml:space="preserve">Single year data for children under 5 by leading cause of death are not required as the data are too small to identify trends. The CRC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states and territories (NSW, Qld, WA, SA and NT) are considered of accepted quality for reporting Indigenous deaths for all ages. </w:t>
            </w:r>
          </w:p>
          <w:p>
            <w:pPr>
              <w:spacing w:after="160"/>
            </w:pPr>
            <w:r>
              <w:rPr>
                <w:rStyle w:val="row-content-rich-text"/>
              </w:rPr>
              <w:t xml:space="preserve">National rates should include these four states and one territory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w:t>
            </w:r>
          </w:p>
          <w:p>
            <w:pPr>
              <w:spacing w:after="160"/>
            </w:pPr>
            <w:r>
              <w:rPr>
                <w:rStyle w:val="row-content-rich-text"/>
                <w:u w:val="single"/>
              </w:rPr>
              <w:t xml:space="preserve">Infant and child mortality:</w:t>
            </w:r>
          </w:p>
          <w:p>
            <w:pPr>
              <w:spacing w:after="160"/>
            </w:pPr>
            <w:r>
              <w:rPr>
                <w:rStyle w:val="row-content-rich-text"/>
              </w:rPr>
              <w:t xml:space="preserve">Aggregated data (2008-2012) will be reported for all-cause mortality, and 2007-2011 for cause of death, for the current reporting period.</w:t>
            </w:r>
          </w:p>
          <w:p>
            <w:pPr>
              <w:spacing w:after="160"/>
            </w:pPr>
            <w:r>
              <w:rPr>
                <w:rStyle w:val="row-content-rich-text"/>
              </w:rPr>
              <w:t xml:space="preserve">Single year data (2007, 2008, 2009, 2010, 2011 and 2012) will be reported for time series analyses (all-cause mortality and national level only for infants and child 0-4 years), noting that data provided for previous years will be used unless a resupply is provided.</w:t>
            </w:r>
          </w:p>
          <w:p>
            <w:pPr>
              <w:spacing w:after="160"/>
            </w:pPr>
            <w:r>
              <w:rPr>
                <w:rStyle w:val="row-content-rich-text"/>
                <w:u w:val="single"/>
              </w:rPr>
              <w:t xml:space="preserve">Perinatal data:</w:t>
            </w:r>
          </w:p>
          <w:p>
            <w:pPr>
              <w:spacing w:after="160"/>
            </w:pPr>
            <w:r>
              <w:rPr>
                <w:rStyle w:val="row-content-rich-text"/>
              </w:rPr>
              <w:t xml:space="preserve">Aggregated data (2007-2011) will be reported for the current reporting period.</w:t>
            </w:r>
          </w:p>
          <w:p>
            <w:pPr>
              <w:spacing w:after="160"/>
            </w:pPr>
            <w:r>
              <w:rPr>
                <w:rStyle w:val="row-content-rich-text"/>
              </w:rPr>
              <w:t xml:space="preserve">Single year data (2007, 2008, 2009, 2010, and 2011 - 2012 only for all cause total for infant and child mortality) will be reported for time series analyses, noting that data provided for previous years will be used unless a resupply is provided.</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 </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rPr>
              <w:t xml:space="preserve">Child 1-4 and  child 0-4 mortality measures are derived from ERPs and projections based on the 2006 Census. The non-Indigenous population will be calculated based on 2006 Census based ERP total population minus 2006 Census based projections. Projections from the 2011 Census will be available in mid-2014, at which point rates may need to be backcast to 2007 (the baseline for this indicator).</w:t>
            </w:r>
          </w:p>
          <w:p>
            <w:pPr>
              <w:spacing w:after="160"/>
            </w:pPr>
            <w:r>
              <w:rPr>
                <w:rStyle w:val="row-content-rich-text"/>
              </w:rPr>
              <w:t xml:space="preserve">Rates may not be comparable with overall rates reported elsewhere in national reporting.</w:t>
            </w:r>
          </w:p>
          <w:p>
            <w:pPr/>
            <w:r>
              <w:rPr>
                <w:rStyle w:val="row-content-rich-text"/>
              </w:rPr>
              <w:t xml:space="preserve">Perinatal data from the AIHW Perinatal Data Collection was reported for this indicator in the 2008-09 and 2009-10 reporting cycles, however it is no longer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545b37f1b5484c">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4729704389485b">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80b4c623e344383">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4ccbc5828264fd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9db314dc3974b7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798ce91af5e4617">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4a50c23de85d484c">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b987bbd95f944c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82b85faf07743d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813a8136142423b">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d08cab563a4a5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9552a9b19f4163">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a380c579b7704ae0">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dd0b3bc27cbb44b4">
              <w:r>
                <w:rPr>
                  <w:rStyle w:val="Hyperlink"/>
                </w:rPr>
                <w:t xml:space="preserve">National Indigenous Reform Agreement: PI 06-Under five mortality rate by leading cause, 2015</w:t>
              </w:r>
            </w:hyperlink>
          </w:p>
          <w:p>
            <w:pPr>
              <w:spacing w:before="0" w:after="0"/>
            </w:pPr>
            <w:r>
              <w:rPr>
                <w:rStyle w:val="row-content"/>
                <w:color w:val="244061"/>
              </w:rPr>
              <w:t xml:space="preserve">       </w:t>
            </w:r>
            <w:hyperlink w:history="true" r:id="R2d4af3b2ede04483">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5c8217572dd449fd">
              <w:r>
                <w:rPr>
                  <w:rStyle w:val="Hyperlink"/>
                </w:rPr>
                <w:t xml:space="preserve">National Healthcare Agreement: PB b-Better health: halve the mortality gap for Indigenous children under five by 2018, 2013</w:t>
              </w:r>
            </w:hyperlink>
          </w:p>
          <w:p>
            <w:pPr>
              <w:spacing w:before="0" w:after="0"/>
            </w:pPr>
            <w:r>
              <w:rPr>
                <w:rStyle w:val="row-content"/>
                <w:color w:val="244061"/>
              </w:rPr>
              <w:t xml:space="preserve">       </w:t>
            </w:r>
            <w:hyperlink w:history="true" r:id="R70ec4c3195f24402">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29f783c5c99b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9f84fb50b4d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f783c5c99b4bd5" /><Relationship Type="http://schemas.openxmlformats.org/officeDocument/2006/relationships/header" Target="/word/header1.xml" Id="R482796a5c39546df" /><Relationship Type="http://schemas.openxmlformats.org/officeDocument/2006/relationships/settings" Target="/word/settings.xml" Id="R14466eae0c804d8a" /><Relationship Type="http://schemas.openxmlformats.org/officeDocument/2006/relationships/styles" Target="/word/styles.xml" Id="Ree8570c347eb47bb" /><Relationship Type="http://schemas.openxmlformats.org/officeDocument/2006/relationships/hyperlink" Target="https://meteor.aihw.gov.au/RegistrationAuthority/6" TargetMode="External" Id="R71600ed2032040b0" /><Relationship Type="http://schemas.openxmlformats.org/officeDocument/2006/relationships/hyperlink" Target="https://meteor.aihw.gov.au/content/525754" TargetMode="External" Id="R4c7900a517dd4e98" /><Relationship Type="http://schemas.openxmlformats.org/officeDocument/2006/relationships/hyperlink" Target="https://meteor.aihw.gov.au/RegistrationAuthority/6" TargetMode="External" Id="Rb6ce4cf63f1a44a7" /><Relationship Type="http://schemas.openxmlformats.org/officeDocument/2006/relationships/hyperlink" Target="https://meteor.aihw.gov.au/content/396163" TargetMode="External" Id="R46c165d7e0fc44a2" /><Relationship Type="http://schemas.openxmlformats.org/officeDocument/2006/relationships/hyperlink" Target="https://meteor.aihw.gov.au/RegistrationAuthority/6" TargetMode="External" Id="Rc0c6ed5175f549aa" /><Relationship Type="http://schemas.openxmlformats.org/officeDocument/2006/relationships/hyperlink" Target="https://meteor.aihw.gov.au/content/567167" TargetMode="External" Id="Rc095cefbc22d4c2b" /><Relationship Type="http://schemas.openxmlformats.org/officeDocument/2006/relationships/hyperlink" Target="https://meteor.aihw.gov.au/RegistrationAuthority/6" TargetMode="External" Id="Raafdff1f3c394ae7" /><Relationship Type="http://schemas.openxmlformats.org/officeDocument/2006/relationships/numbering" Target="/word/numbering.xml" Id="Reb728507208d47ef" /><Relationship Type="http://schemas.openxmlformats.org/officeDocument/2006/relationships/hyperlink" Target="https://meteor.aihw.gov.au/content/495206" TargetMode="External" Id="Rbb8f662fc2f646c0" /><Relationship Type="http://schemas.openxmlformats.org/officeDocument/2006/relationships/image" Target="/media/image.jpg" Id="R26eb12309ad14ec3" /><Relationship Type="http://schemas.openxmlformats.org/officeDocument/2006/relationships/hyperlink" Target="https://meteor.aihw.gov.au/content/396455" TargetMode="External" Id="R7b9388875a6d4adf" /><Relationship Type="http://schemas.openxmlformats.org/officeDocument/2006/relationships/hyperlink" Target="https://meteor.aihw.gov.au/content/269949" TargetMode="External" Id="R772c674aaeea493c" /><Relationship Type="http://schemas.openxmlformats.org/officeDocument/2006/relationships/hyperlink" Target="https://meteor.aihw.gov.au/content/396455" TargetMode="External" Id="Rdf679eee03124d85" /><Relationship Type="http://schemas.openxmlformats.org/officeDocument/2006/relationships/hyperlink" Target="https://meteor.aihw.gov.au/content/287007" TargetMode="External" Id="R12ed3d87ddfd437c" /><Relationship Type="http://schemas.openxmlformats.org/officeDocument/2006/relationships/hyperlink" Target="https://meteor.aihw.gov.au/content/394490" TargetMode="External" Id="R308d58af922f4fb7" /><Relationship Type="http://schemas.openxmlformats.org/officeDocument/2006/relationships/hyperlink" Target="https://meteor.aihw.gov.au/content/287305" TargetMode="External" Id="Rf0e276ddfaa54b23" /><Relationship Type="http://schemas.openxmlformats.org/officeDocument/2006/relationships/hyperlink" Target="https://meteor.aihw.gov.au/content/394490" TargetMode="External" Id="Re941b68ed8e147f9" /><Relationship Type="http://schemas.openxmlformats.org/officeDocument/2006/relationships/hyperlink" Target="https://meteor.aihw.gov.au/content/303794" TargetMode="External" Id="R8f57f18a3bd647c8" /><Relationship Type="http://schemas.openxmlformats.org/officeDocument/2006/relationships/hyperlink" Target="https://meteor.aihw.gov.au/content/394481" TargetMode="External" Id="R59ee739234254b37" /><Relationship Type="http://schemas.openxmlformats.org/officeDocument/2006/relationships/hyperlink" Target="https://meteor.aihw.gov.au/content/269949" TargetMode="External" Id="Rb12c5637d40e4dfd" /><Relationship Type="http://schemas.openxmlformats.org/officeDocument/2006/relationships/hyperlink" Target="https://meteor.aihw.gov.au/content/394483" TargetMode="External" Id="R14763baa379a45dc" /><Relationship Type="http://schemas.openxmlformats.org/officeDocument/2006/relationships/hyperlink" Target="https://meteor.aihw.gov.au/content/303794" TargetMode="External" Id="R3ddb72746b1d4050" /><Relationship Type="http://schemas.openxmlformats.org/officeDocument/2006/relationships/hyperlink" Target="https://meteor.aihw.gov.au/content/393625" TargetMode="External" Id="R939b292da4e04bba" /><Relationship Type="http://schemas.openxmlformats.org/officeDocument/2006/relationships/hyperlink" Target="https://meteor.aihw.gov.au/content/303794" TargetMode="External" Id="R15dbaee4c083414b" /><Relationship Type="http://schemas.openxmlformats.org/officeDocument/2006/relationships/hyperlink" Target="https://meteor.aihw.gov.au/content/394092" TargetMode="External" Id="R6872f3a1c0f34d52" /><Relationship Type="http://schemas.openxmlformats.org/officeDocument/2006/relationships/hyperlink" Target="https://meteor.aihw.gov.au/content/388656" TargetMode="External" Id="R36da77907ee44a97" /><Relationship Type="http://schemas.openxmlformats.org/officeDocument/2006/relationships/hyperlink" Target="https://meteor.aihw.gov.au/content/393625" TargetMode="External" Id="Ra28a9a48f271427b" /><Relationship Type="http://schemas.openxmlformats.org/officeDocument/2006/relationships/hyperlink" Target="https://meteor.aihw.gov.au/content/388656" TargetMode="External" Id="Rd98081eca0c24bb4" /><Relationship Type="http://schemas.openxmlformats.org/officeDocument/2006/relationships/hyperlink" Target="https://meteor.aihw.gov.au/content/394092" TargetMode="External" Id="R98df6d175fb142bf" /><Relationship Type="http://schemas.openxmlformats.org/officeDocument/2006/relationships/hyperlink" Target="https://meteor.aihw.gov.au/content/291036" TargetMode="External" Id="Rfe0ac46332c44081" /><Relationship Type="http://schemas.openxmlformats.org/officeDocument/2006/relationships/hyperlink" Target="https://meteor.aihw.gov.au/content/394481" TargetMode="External" Id="R9d5fa8a7deeb437e" /><Relationship Type="http://schemas.openxmlformats.org/officeDocument/2006/relationships/hyperlink" Target="https://meteor.aihw.gov.au/content/291036" TargetMode="External" Id="Ree0db4a2d9c14a76" /><Relationship Type="http://schemas.openxmlformats.org/officeDocument/2006/relationships/hyperlink" Target="https://meteor.aihw.gov.au/content/394490" TargetMode="External" Id="Rd5b5b4587bed48b0" /><Relationship Type="http://schemas.openxmlformats.org/officeDocument/2006/relationships/hyperlink" Target="https://meteor.aihw.gov.au/content/291036" TargetMode="External" Id="Rf3713a28e4d84dc4" /><Relationship Type="http://schemas.openxmlformats.org/officeDocument/2006/relationships/hyperlink" Target="https://meteor.aihw.gov.au/content/396455" TargetMode="External" Id="Rfbd13550d3e6448b" /><Relationship Type="http://schemas.openxmlformats.org/officeDocument/2006/relationships/hyperlink" Target="https://meteor.aihw.gov.au/content/307931" TargetMode="External" Id="R929f05d23cb54f59" /><Relationship Type="http://schemas.openxmlformats.org/officeDocument/2006/relationships/hyperlink" Target="https://meteor.aihw.gov.au/content/394490" TargetMode="External" Id="R930a33df0d0c4df5" /><Relationship Type="http://schemas.openxmlformats.org/officeDocument/2006/relationships/hyperlink" Target="https://meteor.aihw.gov.au/content/307931" TargetMode="External" Id="R6b05cb91863c4d51" /><Relationship Type="http://schemas.openxmlformats.org/officeDocument/2006/relationships/hyperlink" Target="https://meteor.aihw.gov.au/content/396455" TargetMode="External" Id="Rc0f050b6a04b4151" /><Relationship Type="http://schemas.openxmlformats.org/officeDocument/2006/relationships/hyperlink" Target="https://meteor.aihw.gov.au/content/469909" TargetMode="External" Id="Rd95d1b36591b44af" /><Relationship Type="http://schemas.openxmlformats.org/officeDocument/2006/relationships/hyperlink" Target="https://meteor.aihw.gov.au/content/394481" TargetMode="External" Id="Read937ff8d5040fc" /><Relationship Type="http://schemas.openxmlformats.org/officeDocument/2006/relationships/hyperlink" Target="https://meteor.aihw.gov.au/content/469909" TargetMode="External" Id="R2da5bc8ce723467e" /><Relationship Type="http://schemas.openxmlformats.org/officeDocument/2006/relationships/hyperlink" Target="https://meteor.aihw.gov.au/content/394490" TargetMode="External" Id="Rdc135d4473f948dc" /><Relationship Type="http://schemas.openxmlformats.org/officeDocument/2006/relationships/hyperlink" Target="https://meteor.aihw.gov.au/content/469909" TargetMode="External" Id="R7b72b4e362af43df" /><Relationship Type="http://schemas.openxmlformats.org/officeDocument/2006/relationships/hyperlink" Target="https://meteor.aihw.gov.au/content/396455" TargetMode="External" Id="Rcaadf0a4bd6843bb" /><Relationship Type="http://schemas.openxmlformats.org/officeDocument/2006/relationships/hyperlink" Target="https://meteor.aihw.gov.au/content/410671" TargetMode="External" Id="Ra0545b37f1b5484c" /><Relationship Type="http://schemas.openxmlformats.org/officeDocument/2006/relationships/hyperlink" Target="https://meteor.aihw.gov.au/content/394483" TargetMode="External" Id="Rba4729704389485b" /><Relationship Type="http://schemas.openxmlformats.org/officeDocument/2006/relationships/hyperlink" Target="https://meteor.aihw.gov.au/content/394481" TargetMode="External" Id="Rf80b4c623e344383" /><Relationship Type="http://schemas.openxmlformats.org/officeDocument/2006/relationships/hyperlink" Target="https://meteor.aihw.gov.au/content/393625" TargetMode="External" Id="R14ccbc5828264fd4" /><Relationship Type="http://schemas.openxmlformats.org/officeDocument/2006/relationships/hyperlink" Target="https://meteor.aihw.gov.au/content/449216" TargetMode="External" Id="Rb9db314dc3974b7c" /><Relationship Type="http://schemas.openxmlformats.org/officeDocument/2006/relationships/hyperlink" Target="https://meteor.aihw.gov.au/content/394490" TargetMode="External" Id="R6798ce91af5e4617" /><Relationship Type="http://schemas.openxmlformats.org/officeDocument/2006/relationships/hyperlink" Target="https://meteor.aihw.gov.au/content/449206" TargetMode="External" Id="R4a50c23de85d484c" /><Relationship Type="http://schemas.openxmlformats.org/officeDocument/2006/relationships/hyperlink" Target="https://meteor.aihw.gov.au/content/394092" TargetMode="External" Id="R5b987bbd95f944c2" /><Relationship Type="http://schemas.openxmlformats.org/officeDocument/2006/relationships/hyperlink" Target="https://meteor.aihw.gov.au/content/449223" TargetMode="External" Id="Ra82b85faf07743d8" /><Relationship Type="http://schemas.openxmlformats.org/officeDocument/2006/relationships/hyperlink" Target="https://meteor.aihw.gov.au/content/396455" TargetMode="External" Id="R7813a8136142423b" /><Relationship Type="http://schemas.openxmlformats.org/officeDocument/2006/relationships/hyperlink" Target="https://meteor.aihw.gov.au/content/410271" TargetMode="External" Id="Rf4d08cab563a4a5f" /><Relationship Type="http://schemas.openxmlformats.org/officeDocument/2006/relationships/hyperlink" Target="https://meteor.aihw.gov.au/content/481154" TargetMode="External" Id="R229552a9b19f4163" /><Relationship Type="http://schemas.openxmlformats.org/officeDocument/2006/relationships/hyperlink" Target="https://meteor.aihw.gov.au/RegistrationAuthority/6" TargetMode="External" Id="Ra380c579b7704ae0" /><Relationship Type="http://schemas.openxmlformats.org/officeDocument/2006/relationships/hyperlink" Target="https://meteor.aihw.gov.au/content/579074" TargetMode="External" Id="Rdd0b3bc27cbb44b4" /><Relationship Type="http://schemas.openxmlformats.org/officeDocument/2006/relationships/hyperlink" Target="https://meteor.aihw.gov.au/RegistrationAuthority/6" TargetMode="External" Id="R2d4af3b2ede04483" /><Relationship Type="http://schemas.openxmlformats.org/officeDocument/2006/relationships/hyperlink" Target="https://meteor.aihw.gov.au/content/498356" TargetMode="External" Id="R5c8217572dd449fd" /><Relationship Type="http://schemas.openxmlformats.org/officeDocument/2006/relationships/hyperlink" Target="https://meteor.aihw.gov.au/RegistrationAuthority/12" TargetMode="External" Id="R70ec4c3195f24402" /></Relationships>
</file>

<file path=word/_rels/header1.xml.rels>&#65279;<?xml version="1.0" encoding="utf-8"?><Relationships xmlns="http://schemas.openxmlformats.org/package/2006/relationships"><Relationship Type="http://schemas.openxmlformats.org/officeDocument/2006/relationships/image" Target="/media/image.png" Id="R4dc9f84fb50b4d09" /></Relationships>
</file>