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93f41c93cd444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08-Tobacco smoking during pregnancy,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525835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b8e2af84704006">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mothers who smoked during pregnancy,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can affect the growth and development of the fetus and infant and can carry though to childhood.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817733780ee42e3">
              <w:r>
                <w:rPr>
                  <w:rStyle w:val="Hyperlink"/>
                </w:rPr>
                <w:t xml:space="preserve">National Indigenous Reform Agreement (2014)</w:t>
              </w:r>
            </w:hyperlink>
          </w:p>
          <w:p>
            <w:pPr>
              <w:spacing w:before="0" w:after="0"/>
            </w:pPr>
            <w:r>
              <w:rPr>
                <w:rStyle w:val="row-content"/>
                <w:color w:val="244061"/>
              </w:rPr>
              <w:t xml:space="preserve">       </w:t>
            </w:r>
            <w:hyperlink w:history="true" r:id="R4f8dc91a5af54377">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8712f9dd5bd4c81">
              <w:r>
                <w:rPr>
                  <w:rStyle w:val="Hyperlink"/>
                </w:rPr>
                <w:t xml:space="preserve">Indigenous children are born and remain healthy</w:t>
              </w:r>
            </w:hyperlink>
          </w:p>
          <w:p>
            <w:pPr>
              <w:spacing w:before="0" w:after="0"/>
            </w:pPr>
            <w:r>
              <w:rPr>
                <w:rStyle w:val="row-content"/>
                <w:color w:val="244061"/>
              </w:rPr>
              <w:t xml:space="preserve">       </w:t>
            </w:r>
            <w:hyperlink w:history="true" r:id="R30a589508ac74c00">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34b7a036ba14aa9">
              <w:r>
                <w:rPr>
                  <w:rStyle w:val="Hyperlink"/>
                </w:rPr>
                <w:t xml:space="preserve">National Indigenous Reform Agreement: PI 08-Tobacco smoking during pregnancy, 2014 QS</w:t>
              </w:r>
            </w:hyperlink>
          </w:p>
          <w:p>
            <w:pPr>
              <w:spacing w:before="0" w:after="0"/>
            </w:pPr>
            <w:r>
              <w:rPr>
                <w:rStyle w:val="row-content"/>
                <w:color w:val="244061"/>
              </w:rPr>
              <w:t xml:space="preserve">       </w:t>
            </w:r>
            <w:hyperlink w:history="true" r:id="Ra253efc5f34d48b7">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Indigenous: non-Indigenous.</w:t>
            </w:r>
          </w:p>
          <w:p>
            <w:pPr>
              <w:spacing w:after="160"/>
            </w:pPr>
            <w:r>
              <w:rPr>
                <w:rStyle w:val="row-content-rich-text"/>
                <w:u w:val="single"/>
              </w:rPr>
              <w:t xml:space="preserve">For variability bands</w:t>
            </w:r>
            <w:r>
              <w:rPr>
                <w:rStyle w:val="row-content-rich-text"/>
              </w:rPr>
              <w:t xml:space="preserve">:</w:t>
            </w:r>
          </w:p>
          <w:p>
            <w:pPr>
              <w:spacing w:after="160"/>
            </w:pPr>
            <w:r>
              <w:rPr>
                <w:rStyle w:val="row-content-rich-text"/>
              </w:rPr>
              <w:t xml:space="preserve">Variability bands are to be calculated for rates using the standard method (see definition below).</w:t>
            </w:r>
          </w:p>
          <w:p>
            <w:pPr>
              <w:spacing w:after="160"/>
            </w:pPr>
            <w:r>
              <w:rPr>
                <w:rStyle w:val="row-content-rich-text"/>
                <w:u w:val="single"/>
              </w:rPr>
              <w:t xml:space="preserve">For trends</w:t>
            </w:r>
            <w:r>
              <w:rPr>
                <w:rStyle w:val="row-content-rich-text"/>
              </w:rPr>
              <w:t xml:space="preserve">: percentage change and statistical significance of change is to be calculated (required for CRC reporting).</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women who gave birth (percentage), rate ratios, and rate differences.</w:t>
            </w:r>
          </w:p>
          <w:p>
            <w:pPr>
              <w:spacing w:after="160"/>
            </w:pPr>
            <w:r>
              <w:rPr>
                <w:rStyle w:val="row-content-rich-text"/>
              </w:rPr>
              <w:t xml:space="preserve">Analysis by state/territory is based on usual residence of the mother.</w:t>
            </w:r>
          </w:p>
          <w:p>
            <w:pPr>
              <w:spacing w:after="160"/>
            </w:pPr>
            <w:r>
              <w:rPr>
                <w:rStyle w:val="row-content-rich-text"/>
              </w:rPr>
              <w:t xml:space="preserve">Excludes Australian non-residents of external territories and where state/territory of residence was not stated.</w:t>
            </w:r>
          </w:p>
          <w:p>
            <w:pPr>
              <w:spacing w:after="160"/>
            </w:pPr>
            <w:r>
              <w:rPr>
                <w:rStyle w:val="row-content-rich-text"/>
                <w:u w:val="single"/>
              </w:rPr>
              <w:t xml:space="preserve">Definitions</w:t>
            </w:r>
            <w:r>
              <w:rPr>
                <w:rStyle w:val="row-content-rich-text"/>
              </w:rPr>
              <w:t xml:space="preserve">:</w:t>
            </w:r>
          </w:p>
          <w:p>
            <w:pPr>
              <w:spacing w:after="160"/>
            </w:pPr>
            <w:r>
              <w:rPr>
                <w:rStyle w:val="row-content-rich-text"/>
                <w:u w:val="single"/>
              </w:rPr>
              <w:t xml:space="preserve">Standard method for variability band computation</w:t>
            </w:r>
            <w:r>
              <w:rPr>
                <w:rStyle w:val="row-content-rich-text"/>
              </w:rPr>
              <w:t xml:space="preserve">:</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Also, the rate is assumed to have been generated from a Normal distribution ("Bell curve"). Random variation in the numerator count is assumed to be centred around the true value, i.e.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Crude rate</w:t>
            </w:r>
            <w:r>
              <w:rPr>
                <w:rStyle w:val="row-content-rich-text"/>
              </w:rPr>
              <w:t xml:space="preserve">: 100 x (Numerator ÷ Denominator).</w:t>
            </w:r>
          </w:p>
          <w:p>
            <w:pPr>
              <w:spacing w:after="160"/>
            </w:pPr>
            <w:r>
              <w:rPr>
                <w:rStyle w:val="row-content-rich-text"/>
                <w:u w:val="single"/>
              </w:rPr>
              <w:t xml:space="preserve">Age-standardised rate</w:t>
            </w:r>
            <w:r>
              <w:rPr>
                <w:rStyle w:val="row-content-rich-text"/>
              </w:rPr>
              <w:t xml:space="preserve">: calculated using the direct method, using five year age groups from 15-19 to 40-44 using the Australian female population who gave birth in the current reporting period as the standard. Age-standardisation should be done in accordance with the NIRAPIMG agreed principles for direct age-standardisation (see Comments section. Note that Principle 1 and Principle 4 are not applicable for this indicator).</w:t>
            </w:r>
          </w:p>
          <w:p>
            <w:pPr>
              <w:spacing w:after="160"/>
            </w:pPr>
            <w:r>
              <w:rPr>
                <w:rStyle w:val="row-content-rich-text"/>
                <w:u w:val="single"/>
              </w:rPr>
              <w:t xml:space="preserve">Rate ratio</w:t>
            </w:r>
            <w:r>
              <w:rPr>
                <w:rStyle w:val="row-content-rich-text"/>
              </w:rPr>
              <w:t xml:space="preserve">: Indigenous age-standardised rate divided by non-Indigenous age-standardised rate</w:t>
            </w:r>
          </w:p>
          <w:p>
            <w:pPr>
              <w:spacing w:after="160"/>
            </w:pPr>
            <w:r>
              <w:rPr>
                <w:rStyle w:val="row-content-rich-text"/>
                <w:u w:val="single"/>
              </w:rPr>
              <w:t xml:space="preserve">Rate difference</w:t>
            </w:r>
            <w:r>
              <w:rPr>
                <w:rStyle w:val="row-content-rich-text"/>
              </w:rPr>
              <w:t xml:space="preserve">: Indigenous age-standardised rate minus non-Indigenous age-standardised rate.</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i/>
              </w:rPr>
              <w:t xml:space="preserve">Crude rate:</w:t>
            </w:r>
          </w:p>
          <w:p>
            <w:hyperlink w:history="true" r:id="Ra43e83c8a4914212">
              <w:r>
                <w:drawing>
                  <wp:inline xmlns:wp="http://schemas.openxmlformats.org/drawingml/2006/wordprocessingDrawing" distT="0" distB="0" distL="0" distR="0">
                    <wp:extent cx="4754880" cy="1041545"/>
                    <wp:effectExtent l="19050" t="0" r="0" b="0"/>
                    <wp:docPr id="2" name="Picture 2" descr="">
                      <a:hlinkClick xmlns:a="http://schemas.openxmlformats.org/drawingml/2006/main" r:id="Ra43e83c8a4914212"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ce2760434eb94cdc"/>
                            <a:srcRect/>
                            <a:stretch>
                              <a:fillRect/>
                            </a:stretch>
                          </pic:blipFill>
                          <pic:spPr bwMode="auto">
                            <a:xfrm>
                              <a:off x="0" y="0"/>
                              <a:ext cx="5000625" cy="1095375"/>
                            </a:xfrm>
                            <a:prstGeom prst="rect">
                              <a:avLst/>
                            </a:prstGeom>
                          </pic:spPr>
                        </pic:pic>
                      </a:graphicData>
                    </a:graphic>
                  </wp:inline>
                </w:drawing>
              </w:r>
            </w:hyperlink>
          </w:p>
          <w:p>
            <w:pPr>
              <w:spacing w:after="160"/>
            </w:pPr>
            <w:r>
              <w:rPr>
                <w:rStyle w:val="row-content-rich-text"/>
              </w:rPr>
              <w:t xml:space="preserve">Where </w:t>
            </w:r>
            <w:r>
              <w:rPr>
                <w:rStyle w:val="row-content-rich-text"/>
                <w:i/>
              </w:rPr>
              <w:t xml:space="preserve">CR</w:t>
            </w:r>
            <w:r>
              <w:rPr>
                <w:rStyle w:val="row-content-rich-text"/>
              </w:rPr>
              <w:t xml:space="preserve"> = crude rate</w:t>
            </w:r>
          </w:p>
          <w:p>
            <w:pPr>
              <w:spacing w:after="160"/>
            </w:pPr>
            <w:r>
              <w:rPr>
                <w:rStyle w:val="row-content-rich-text"/>
                <w:i/>
              </w:rPr>
              <w:t xml:space="preserve">n = </w:t>
            </w:r>
            <w:r>
              <w:rPr>
                <w:rStyle w:val="row-content-rich-text"/>
              </w:rPr>
              <w:t xml:space="preserve">Denominator used to calculate crude rate</w:t>
            </w:r>
          </w:p>
          <w:p>
            <w:pPr>
              <w:spacing w:after="160"/>
            </w:pPr>
            <w:r>
              <w:rPr>
                <w:rStyle w:val="row-content-rich-text"/>
                <w:i/>
              </w:rPr>
              <w:t xml:space="preserve">Age-standardised rate:</w:t>
            </w:r>
          </w:p>
          <w:p>
            <w:hyperlink w:history="true" r:id="Ra66af5cd2ba142bc">
              <w:r>
                <w:drawing>
                  <wp:inline xmlns:wp="http://schemas.openxmlformats.org/drawingml/2006/wordprocessingDrawing" distT="0" distB="0" distL="0" distR="0">
                    <wp:extent cx="3657600" cy="1133475"/>
                    <wp:effectExtent l="19050" t="0" r="0" b="0"/>
                    <wp:docPr id="3" name="Picture 3" descr="">
                      <a:hlinkClick xmlns:a="http://schemas.openxmlformats.org/drawingml/2006/main" r:id="Ra66af5cd2ba142bc"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bc79e9fd6f0648ee"/>
                            <a:srcRect/>
                            <a:stretch>
                              <a:fillRect/>
                            </a:stretch>
                          </pic:blipFill>
                          <pic:spPr bwMode="auto">
                            <a:xfrm>
                              <a:off x="0" y="0"/>
                              <a:ext cx="3657600" cy="1133475"/>
                            </a:xfrm>
                            <a:prstGeom prst="rect">
                              <a:avLst/>
                            </a:prstGeom>
                          </pic:spPr>
                        </pic:pic>
                      </a:graphicData>
                    </a:graphic>
                  </wp:inline>
                </w:drawing>
              </w:r>
            </w:hyperlink>
          </w:p>
          <w:p>
            <w:pPr>
              <w:spacing w:after="160"/>
            </w:pPr>
            <w:r>
              <w:rPr>
                <w:rStyle w:val="row-content-rich-text"/>
              </w:rPr>
              <w:t xml:space="preserve">Where 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number of mothers who smoked during pregnancy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number of women who gave birth that year in the population in age group i</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u w:val="single"/>
              </w:rPr>
              <w:t xml:space="preserve">Statistical significance of change</w:t>
            </w:r>
            <w:r>
              <w:rPr>
                <w:rStyle w:val="row-content-rich-text"/>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smoked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Mother's smoking status during pregnancy.</w:t>
            </w:r>
          </w:p>
          <w:p>
            <w:r>
              <w:rPr>
                <w:rStyle w:val="row-content"/>
                <w:b/>
              </w:rPr>
              <w:t xml:space="preserve">Data Source</w:t>
            </w:r>
          </w:p>
          <w:p>
            <w:hyperlink w:history="true" r:id="R532da20dd17c4466">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p>
            <w:r>
              <w:rPr>
                <w:rStyle w:val="row-content"/>
                <w:b/>
                <w:color w:val="000000"/>
              </w:rPr>
              <w:t xml:space="preserve">Data Element / Data Set</w:t>
            </w:r>
          </w:p>
          <w:p>
            <w:hyperlink w:history="true" r:id="R9d6f8933c4c34b63">
              <w:r>
                <w:rPr>
                  <w:rStyle w:val="Hyperlink"/>
                </w:rPr>
                <w:t xml:space="preserve">Female (pregnant)—tobacco smoking indicator (first twenty weeks of pregnancy), yes/no code N</w:t>
              </w:r>
            </w:hyperlink>
          </w:p>
          <w:p>
            <w:r>
              <w:rPr>
                <w:rStyle w:val="row-content"/>
                <w:b/>
              </w:rPr>
              <w:t xml:space="preserve">Data Source</w:t>
            </w:r>
          </w:p>
          <w:p>
            <w:hyperlink w:history="true" r:id="R8dbf8bdb55ca4571">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p>
            <w:r>
              <w:rPr>
                <w:rStyle w:val="row-content"/>
                <w:b/>
                <w:color w:val="000000"/>
              </w:rPr>
              <w:t xml:space="preserve">Data Element / Data Set</w:t>
            </w:r>
          </w:p>
          <w:p>
            <w:hyperlink w:history="true" r:id="Rab6c6bf32ca841b9">
              <w:r>
                <w:rPr>
                  <w:rStyle w:val="Hyperlink"/>
                </w:rPr>
                <w:t xml:space="preserve">Female (pregnant)—tobacco smoking indicator (after twenty weeks of pregnancy), yes/no code N</w:t>
              </w:r>
            </w:hyperlink>
          </w:p>
          <w:p>
            <w:r>
              <w:rPr>
                <w:rStyle w:val="row-content"/>
                <w:b/>
              </w:rPr>
              <w:t xml:space="preserve">Data Source</w:t>
            </w:r>
          </w:p>
          <w:p>
            <w:hyperlink w:history="true" r:id="R0412c37022334aeb">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women who gave birth with known smoking status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Mother's smoking status during pregnancy.</w:t>
            </w:r>
          </w:p>
          <w:p>
            <w:r>
              <w:rPr>
                <w:rStyle w:val="row-content"/>
                <w:b/>
              </w:rPr>
              <w:t xml:space="preserve">Data Source</w:t>
            </w:r>
          </w:p>
          <w:p>
            <w:hyperlink w:history="true" r:id="Rd351fdcf84c04b23">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Excludes ‘not stated’ mother's smoking status during pregnancy.</w:t>
            </w:r>
          </w:p>
          <w:p>
            <w:r>
              <w:rPr>
                <w:rStyle w:val="row-content"/>
              </w:rPr>
              <w:t xml:space="preserve"> </w:t>
            </w:r>
          </w:p>
          <w:p>
            <w:r>
              <w:rPr>
                <w:rStyle w:val="row-content"/>
                <w:b/>
                <w:color w:val="000000"/>
              </w:rPr>
              <w:t xml:space="preserve">Data Element / Data Set</w:t>
            </w:r>
          </w:p>
          <w:p>
            <w:hyperlink w:history="true" r:id="R4ec29f14ad1b41bc">
              <w:r>
                <w:rPr>
                  <w:rStyle w:val="Hyperlink"/>
                </w:rPr>
                <w:t xml:space="preserve">Female (pregnant)—tobacco smoking indicator (first twenty weeks of pregnancy), yes/no code N</w:t>
              </w:r>
            </w:hyperlink>
          </w:p>
          <w:p>
            <w:r>
              <w:rPr>
                <w:rStyle w:val="row-content"/>
                <w:b/>
              </w:rPr>
              <w:t xml:space="preserve">Data Source</w:t>
            </w:r>
          </w:p>
          <w:p>
            <w:hyperlink w:history="true" r:id="R94c4391fddeb499b">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p>
            <w:r>
              <w:rPr>
                <w:rStyle w:val="row-content"/>
                <w:b/>
                <w:color w:val="000000"/>
              </w:rPr>
              <w:t xml:space="preserve">Data Element / Data Set</w:t>
            </w:r>
          </w:p>
          <w:p>
            <w:hyperlink w:history="true" r:id="R480e38e64520478f">
              <w:r>
                <w:rPr>
                  <w:rStyle w:val="Hyperlink"/>
                </w:rPr>
                <w:t xml:space="preserve">Female (pregnant)—tobacco smoking indicator (after twenty weeks of pregnancy), yes/no code N</w:t>
              </w:r>
            </w:hyperlink>
          </w:p>
          <w:p>
            <w:r>
              <w:rPr>
                <w:rStyle w:val="row-content"/>
                <w:b/>
              </w:rPr>
              <w:t xml:space="preserve">Data Source</w:t>
            </w:r>
          </w:p>
          <w:p>
            <w:hyperlink w:history="true" r:id="Rb9802a3597a44598">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 Period (2011):</w:t>
            </w:r>
          </w:p>
          <w:p>
            <w:pPr>
              <w:spacing w:after="160"/>
            </w:pPr>
            <w:r>
              <w:rPr>
                <w:rStyle w:val="row-content-rich-text"/>
              </w:rPr>
              <w:t xml:space="preserve">For Indigenous only (numbers and crude rates):</w:t>
            </w:r>
          </w:p>
          <w:p>
            <w:pPr>
              <w:pStyle w:val="ListParagraph"/>
              <w:numPr>
                <w:ilvl w:val="0"/>
                <w:numId w:val="2"/>
              </w:numPr>
            </w:pPr>
            <w:r>
              <w:rPr>
                <w:rStyle w:val="row-content-rich-text"/>
              </w:rPr>
              <w:t xml:space="preserve">National and state/territory and remoteness area, by smoking status. </w:t>
            </w:r>
          </w:p>
          <w:p>
            <w:pPr>
              <w:spacing w:after="160"/>
            </w:pPr>
            <w:r>
              <w:rPr>
                <w:rStyle w:val="row-content-rich-text"/>
              </w:rPr>
              <w:t xml:space="preserve">Time series – 2007, 2008, 2009, 2010 (the data for these years have been previously supplied); 2011 (required for 2014 reporting):</w:t>
            </w:r>
          </w:p>
          <w:p>
            <w:pPr>
              <w:spacing w:after="160"/>
            </w:pPr>
            <w:r>
              <w:rPr>
                <w:rStyle w:val="row-content-rich-text"/>
              </w:rPr>
              <w:t xml:space="preserve">For Indigenous and non-Indigenous (numbers, age-standardised rates, rate ratio, rate difference, and percentage change. Variability bands and statistical significance of change to be provided by the AIHW):</w:t>
            </w:r>
          </w:p>
          <w:p>
            <w:pPr>
              <w:pStyle w:val="ListParagraph"/>
              <w:numPr>
                <w:ilvl w:val="0"/>
                <w:numId w:val="3"/>
              </w:numPr>
            </w:pPr>
            <w:r>
              <w:rPr>
                <w:rStyle w:val="row-content-rich-text"/>
              </w:rPr>
              <w:t xml:space="preserve">National and state/territory and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5e9cf8778d344b3">
              <w:r>
                <w:rPr>
                  <w:rStyle w:val="Hyperlink"/>
                </w:rPr>
                <w:t xml:space="preserve">Person—Indigenous status, code N</w:t>
              </w:r>
            </w:hyperlink>
          </w:p>
          <w:p>
            <w:r>
              <w:rPr>
                <w:rStyle w:val="row-content"/>
                <w:b/>
              </w:rPr>
              <w:t xml:space="preserve">Data Source</w:t>
            </w:r>
          </w:p>
          <w:p>
            <w:hyperlink w:history="true" r:id="R1f026df476d14ae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d10ca68780041b7">
              <w:r>
                <w:rPr>
                  <w:rStyle w:val="Hyperlink"/>
                </w:rPr>
                <w:t xml:space="preserve">Person—area of usual residence, statistical area level 2 (SA2) code (ASGS 2011) N(9)</w:t>
              </w:r>
            </w:hyperlink>
          </w:p>
          <w:p>
            <w:r>
              <w:rPr>
                <w:rStyle w:val="row-content"/>
                <w:b/>
              </w:rPr>
              <w:t xml:space="preserve">Data Source</w:t>
            </w:r>
          </w:p>
          <w:p>
            <w:hyperlink w:history="true" r:id="R4e6b79c19b14485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CRC report is 2011.</w:t>
            </w:r>
          </w:p>
          <w:p>
            <w:pPr>
              <w:spacing w:after="160"/>
            </w:pPr>
            <w:r>
              <w:rPr>
                <w:rStyle w:val="row-content-rich-text"/>
              </w:rPr>
              <w:t xml:space="preserve">There were no data elements in the Perinatal national minimum data set (NMDS) for maternal smoking in pregnancy prior to July 2010. A program for national data development was completed in 2009 to add nationally agreed data items on smoking during pregnancy to the Perinatal NMDS from 1 July 2010. For earlier time periods non-standardised information is obtained as part of the National Perinatal Data Collection (NPDC).</w:t>
            </w:r>
          </w:p>
          <w:p>
            <w:pPr>
              <w:spacing w:after="160"/>
            </w:pPr>
            <w:r>
              <w:rPr>
                <w:rStyle w:val="row-content-rich-text"/>
              </w:rPr>
              <w:t xml:space="preserve">Data were available for 2013 and 2012 reporting for all states and territories. For the 2010 and 2011 CRC reports, data were available for NSW, Queensland, WA, SA, Tasmania, NT and ACT.</w:t>
            </w:r>
          </w:p>
          <w:p>
            <w:pPr>
              <w:spacing w:after="160"/>
            </w:pPr>
            <w:r>
              <w:rPr>
                <w:rStyle w:val="row-content-rich-text"/>
              </w:rPr>
              <w:t xml:space="preserve">Information is included in the NPDC for all live births and still births of at least 400 grams birthweight or at least 20 weeks gestation.</w:t>
            </w:r>
          </w:p>
          <w:p>
            <w:pPr>
              <w:spacing w:after="160"/>
            </w:pPr>
            <w:r>
              <w:rPr>
                <w:rStyle w:val="row-content-rich-text"/>
              </w:rPr>
              <w:t xml:space="preserve">Analysis by state/territory is based on usual residence of the mother.</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COAG Reform Council will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purposes of comparisons over time and for national estimates at a point in time for Indigenous/non-Indigenous comparisons.</w:t>
            </w:r>
          </w:p>
          <w:p>
            <w:pPr>
              <w:spacing w:after="160"/>
            </w:pPr>
            <w:r>
              <w:rPr>
                <w:rStyle w:val="row-content-rich-text"/>
              </w:rPr>
              <w:t xml:space="preserve">Baseline year for NIRA target (Halve the child mortality gap within a decade) is 2008; baseline year for this indicator is 2007; target year is 2018.</w:t>
            </w:r>
          </w:p>
          <w:p>
            <w:pPr>
              <w:spacing w:after="160"/>
            </w:pPr>
            <w:r>
              <w:rPr>
                <w:rStyle w:val="row-content-rich-text"/>
                <w:b/>
              </w:rPr>
              <w:t xml:space="preserve">NIRAPIMG agreed Principles for reporting directly age-standardised rates for administrative data</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from the 2001 Census until population estimates from the 2011 Census become available.</w:t>
            </w:r>
          </w:p>
          <w:p>
            <w:pPr>
              <w:spacing w:after="160"/>
            </w:pPr>
            <w:r>
              <w:rPr>
                <w:rStyle w:val="row-content-rich-text"/>
              </w:rPr>
              <w:t xml:space="preserve">The population used as the denominator for the calculation of Indigenous age-standardised rates should be SERIES B of Indigenous experimental estimates and projections 2006 to 2021 based on the 2006 Census until population estimates from the 2011 Census become available.</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Age-groups may be collapsed to obtain a denominator of 30 or more (provided that this is in accordance with principle 3 and 4).</w:t>
            </w:r>
          </w:p>
          <w:p>
            <w:pPr>
              <w:spacing w:after="160"/>
            </w:pPr>
            <w:r>
              <w:rPr>
                <w:rStyle w:val="row-content-rich-text"/>
                <w:b/>
              </w:rPr>
              <w:t xml:space="preserve">Principle 3:</w:t>
            </w:r>
            <w:r>
              <w:rPr>
                <w:rStyle w:val="row-content-rich-text"/>
              </w:rPr>
              <w:t xml:space="preserve"> If the total number of Indigenous events (e.g.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(i.e. data are required for time series or jurisdictional comparisons), or does not result in greater than 20 events in total,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Age-standardised rates should be calculated using the five year age groupings of 0-4 years to 75 years and over (provided Principles 2 and 3 for denominator and numerator are met).</w:t>
            </w:r>
          </w:p>
          <w:p>
            <w:pPr>
              <w:spacing w:after="160"/>
            </w:pPr>
            <w:r>
              <w:rPr>
                <w:rStyle w:val="row-content-rich-text"/>
              </w:rPr>
              <w:t xml:space="preserve">10-year age groups may be used to overcome small numbers (20 year age groups are too wide and should not be used).</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(e.g. deaths from a certain cause concentrate on younger ages for Indigenous  population while for non-Indigenous they may occur at older ages).</w:t>
            </w:r>
          </w:p>
          <w:p>
            <w:pPr>
              <w:spacing w:after="160"/>
            </w:pPr>
            <w:r>
              <w:rPr>
                <w:rStyle w:val="row-content-rich-text"/>
              </w:rPr>
              <w:t xml:space="preserve">c) the age-specific rates depart from the assumption of a uniform increase in death with age (e.g.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(e.g. sexually transmitted infections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(e.g. conditions originating in the perinatal period and sudden infant death syndrome (SIDS)), it is recommended to report the age-specific rate for the age-group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6bee0d179194f8b">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76d9c351ca848e7">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01a2e47471b49f5">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100da44b5f46d3">
              <w:r>
                <w:rPr>
                  <w:rStyle w:val="Hyperlink"/>
                </w:rPr>
                <w:t xml:space="preserve">National Indigenous Reform Agreement: PI 08-Tobacco smoking during pregnancy, 2013</w:t>
              </w:r>
            </w:hyperlink>
          </w:p>
          <w:p>
            <w:pPr>
              <w:spacing w:before="0" w:after="0"/>
            </w:pPr>
            <w:r>
              <w:rPr>
                <w:rStyle w:val="row-content"/>
                <w:color w:val="244061"/>
              </w:rPr>
              <w:t xml:space="preserve">       </w:t>
            </w:r>
            <w:hyperlink w:history="true" r:id="R4b525c7e6a204145">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39370ae567ec45e1">
              <w:r>
                <w:rPr>
                  <w:rStyle w:val="Hyperlink"/>
                </w:rPr>
                <w:t xml:space="preserve">National Indigenous Reform Agreement: PI 08-Tobacco smoking during pregnancy, 2015</w:t>
              </w:r>
            </w:hyperlink>
          </w:p>
          <w:p>
            <w:pPr>
              <w:spacing w:before="0" w:after="0"/>
            </w:pPr>
            <w:r>
              <w:rPr>
                <w:rStyle w:val="row-content"/>
                <w:color w:val="244061"/>
              </w:rPr>
              <w:t xml:space="preserve">       </w:t>
            </w:r>
            <w:hyperlink w:history="true" r:id="R16403bab6ae14ed5">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c97be8e65abe4b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525835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d1bf86081945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7be8e65abe4b0b" /><Relationship Type="http://schemas.openxmlformats.org/officeDocument/2006/relationships/header" Target="/word/header1.xml" Id="R8c1f44d9faf84da9" /><Relationship Type="http://schemas.openxmlformats.org/officeDocument/2006/relationships/settings" Target="/word/settings.xml" Id="R5d51f5b8775c4eb7" /><Relationship Type="http://schemas.openxmlformats.org/officeDocument/2006/relationships/styles" Target="/word/styles.xml" Id="Rfefce29bcb904e58" /><Relationship Type="http://schemas.openxmlformats.org/officeDocument/2006/relationships/hyperlink" Target="https://meteor.aihw.gov.au/RegistrationAuthority/6" TargetMode="External" Id="R79b8e2af84704006" /><Relationship Type="http://schemas.openxmlformats.org/officeDocument/2006/relationships/hyperlink" Target="https://meteor.aihw.gov.au/content/525754" TargetMode="External" Id="R2817733780ee42e3" /><Relationship Type="http://schemas.openxmlformats.org/officeDocument/2006/relationships/hyperlink" Target="https://meteor.aihw.gov.au/RegistrationAuthority/6" TargetMode="External" Id="R4f8dc91a5af54377" /><Relationship Type="http://schemas.openxmlformats.org/officeDocument/2006/relationships/hyperlink" Target="https://meteor.aihw.gov.au/content/396166" TargetMode="External" Id="R48712f9dd5bd4c81" /><Relationship Type="http://schemas.openxmlformats.org/officeDocument/2006/relationships/hyperlink" Target="https://meteor.aihw.gov.au/RegistrationAuthority/6" TargetMode="External" Id="R30a589508ac74c00" /><Relationship Type="http://schemas.openxmlformats.org/officeDocument/2006/relationships/hyperlink" Target="https://meteor.aihw.gov.au/content/567184" TargetMode="External" Id="R934b7a036ba14aa9" /><Relationship Type="http://schemas.openxmlformats.org/officeDocument/2006/relationships/hyperlink" Target="https://meteor.aihw.gov.au/RegistrationAuthority/6" TargetMode="External" Id="Ra253efc5f34d48b7" /><Relationship Type="http://schemas.openxmlformats.org/officeDocument/2006/relationships/hyperlink" Target="https://meteor.aihw.gov.au/content/523388" TargetMode="External" Id="Ra43e83c8a4914212" /><Relationship Type="http://schemas.openxmlformats.org/officeDocument/2006/relationships/image" Target="/media/image.jpg" Id="Rce2760434eb94cdc" /><Relationship Type="http://schemas.openxmlformats.org/officeDocument/2006/relationships/hyperlink" Target="https://meteor.aihw.gov.au/content/495211" TargetMode="External" Id="Ra66af5cd2ba142bc" /><Relationship Type="http://schemas.openxmlformats.org/officeDocument/2006/relationships/image" Target="/media/image2.jpg" Id="Rbc79e9fd6f0648ee" /><Relationship Type="http://schemas.openxmlformats.org/officeDocument/2006/relationships/hyperlink" Target="https://meteor.aihw.gov.au/content/392479" TargetMode="External" Id="R532da20dd17c4466" /><Relationship Type="http://schemas.openxmlformats.org/officeDocument/2006/relationships/hyperlink" Target="https://meteor.aihw.gov.au/content/365404" TargetMode="External" Id="R9d6f8933c4c34b63" /><Relationship Type="http://schemas.openxmlformats.org/officeDocument/2006/relationships/hyperlink" Target="https://meteor.aihw.gov.au/content/392479" TargetMode="External" Id="R8dbf8bdb55ca4571" /><Relationship Type="http://schemas.openxmlformats.org/officeDocument/2006/relationships/hyperlink" Target="https://meteor.aihw.gov.au/content/365417" TargetMode="External" Id="Rab6c6bf32ca841b9" /><Relationship Type="http://schemas.openxmlformats.org/officeDocument/2006/relationships/hyperlink" Target="https://meteor.aihw.gov.au/content/392479" TargetMode="External" Id="R0412c37022334aeb" /><Relationship Type="http://schemas.openxmlformats.org/officeDocument/2006/relationships/hyperlink" Target="https://meteor.aihw.gov.au/content/392479" TargetMode="External" Id="Rd351fdcf84c04b23" /><Relationship Type="http://schemas.openxmlformats.org/officeDocument/2006/relationships/hyperlink" Target="https://meteor.aihw.gov.au/content/365404" TargetMode="External" Id="R4ec29f14ad1b41bc" /><Relationship Type="http://schemas.openxmlformats.org/officeDocument/2006/relationships/hyperlink" Target="https://meteor.aihw.gov.au/content/392479" TargetMode="External" Id="R94c4391fddeb499b" /><Relationship Type="http://schemas.openxmlformats.org/officeDocument/2006/relationships/hyperlink" Target="https://meteor.aihw.gov.au/content/365417" TargetMode="External" Id="R480e38e64520478f" /><Relationship Type="http://schemas.openxmlformats.org/officeDocument/2006/relationships/hyperlink" Target="https://meteor.aihw.gov.au/content/392479" TargetMode="External" Id="Rb9802a3597a44598" /><Relationship Type="http://schemas.openxmlformats.org/officeDocument/2006/relationships/numbering" Target="/word/numbering.xml" Id="Rbcee1c5a9e564fb2" /><Relationship Type="http://schemas.openxmlformats.org/officeDocument/2006/relationships/hyperlink" Target="https://meteor.aihw.gov.au/content/291036" TargetMode="External" Id="R75e9cf8778d344b3" /><Relationship Type="http://schemas.openxmlformats.org/officeDocument/2006/relationships/hyperlink" Target="https://meteor.aihw.gov.au/content/392479" TargetMode="External" Id="R1f026df476d14ae9" /><Relationship Type="http://schemas.openxmlformats.org/officeDocument/2006/relationships/hyperlink" Target="https://meteor.aihw.gov.au/content/469909" TargetMode="External" Id="R3d10ca68780041b7" /><Relationship Type="http://schemas.openxmlformats.org/officeDocument/2006/relationships/hyperlink" Target="https://meteor.aihw.gov.au/content/392479" TargetMode="External" Id="R4e6b79c19b144855" /><Relationship Type="http://schemas.openxmlformats.org/officeDocument/2006/relationships/hyperlink" Target="https://meteor.aihw.gov.au/content/410676" TargetMode="External" Id="Rd6bee0d179194f8b" /><Relationship Type="http://schemas.openxmlformats.org/officeDocument/2006/relationships/hyperlink" Target="https://meteor.aihw.gov.au/content/392479" TargetMode="External" Id="R276d9c351ca848e7" /><Relationship Type="http://schemas.openxmlformats.org/officeDocument/2006/relationships/hyperlink" Target="https://meteor.aihw.gov.au/content/410271" TargetMode="External" Id="R301a2e47471b49f5" /><Relationship Type="http://schemas.openxmlformats.org/officeDocument/2006/relationships/hyperlink" Target="https://meteor.aihw.gov.au/content/484309" TargetMode="External" Id="R56100da44b5f46d3" /><Relationship Type="http://schemas.openxmlformats.org/officeDocument/2006/relationships/hyperlink" Target="https://meteor.aihw.gov.au/RegistrationAuthority/6" TargetMode="External" Id="R4b525c7e6a204145" /><Relationship Type="http://schemas.openxmlformats.org/officeDocument/2006/relationships/hyperlink" Target="https://meteor.aihw.gov.au/content/579078" TargetMode="External" Id="R39370ae567ec45e1" /><Relationship Type="http://schemas.openxmlformats.org/officeDocument/2006/relationships/hyperlink" Target="https://meteor.aihw.gov.au/RegistrationAuthority/6" TargetMode="External" Id="R16403bab6ae14ed5" /></Relationships>
</file>

<file path=word/_rels/header1.xml.rels>&#65279;<?xml version="1.0" encoding="utf-8"?><Relationships xmlns="http://schemas.openxmlformats.org/package/2006/relationships"><Relationship Type="http://schemas.openxmlformats.org/officeDocument/2006/relationships/image" Target="/media/image.png" Id="Rfbd1bf8608194517" /></Relationships>
</file>