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95d06e756848c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2011–12;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2011–12;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2011–12—Data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e78d5ae494293">
              <w:r>
                <w:rPr>
                  <w:rStyle w:val="Hyperlink"/>
                  <w:color w:val="244061"/>
                </w:rPr>
                <w:t xml:space="preserve">AIHW Data Quality Statements</w:t>
              </w:r>
            </w:hyperlink>
            <w:r>
              <w:rPr>
                <w:rStyle w:val="row-content"/>
                <w:color w:val="244061"/>
              </w:rPr>
              <w:t xml:space="preserve">, Superseded 31/07/2014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 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2003–04 have not been included in the 2011–12 annual report due to these comparability issues.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one service at a time, for different treatments and for different substance use problems.</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2011 to 30 June 2012. This includes all clients who had completed one or more treatment episodes at an alcohol and other drug treatment service that was in scope during 1 July 2011 to 30 June 2012.</w:t>
            </w:r>
          </w:p>
          <w:p>
            <w:pPr>
              <w:spacing w:after="160"/>
            </w:pPr>
            <w:r>
              <w:rPr>
                <w:rStyle w:val="row-content-rich-text"/>
              </w:rPr>
              <w:t xml:space="preserve">The AODTS NMDS is a collection of data from publicly funded treatment services in all states and territories, including those directly funded by the Australian Government Department of Health and Ageing (DoHA). Publicly 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Institutional environment</w:t>
            </w:r>
          </w:p>
          <w:p>
            <w:pPr>
              <w:spacing w:after="160"/>
            </w:pPr>
            <w:r>
              <w:rPr>
                <w:rStyle w:val="row-content-rich-text"/>
              </w:rPr>
              <w:t xml:space="preserve">Under a Memorandum of Understanding with the DoHA,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29fc0a7750f2440b">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Timeliness</w:t>
            </w:r>
          </w:p>
          <w:p>
            <w:pPr/>
            <w:r>
              <w:rPr>
                <w:rStyle w:val="row-content-rich-text"/>
              </w:rPr>
              <w:t xml:space="preserve">The state and territory health departments and the DoHA provide data to the AIHW using the AIHW’s online data validation tool (Validata™). This tool allows data suppliers to upload their data files and have them validated immediately. For the 2011–12 collection, data were due for submission through the Validata™ at the end of November 2012 with final approval of all data due at the end of December 2012. The 2011–12 collection was finalised in late February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Accessibility </w:t>
            </w:r>
          </w:p>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w:t>
            </w:r>
            <w:hyperlink w:history="true" r:id="Rd73d18970215494b">
              <w:r>
                <w:rPr>
                  <w:rStyle w:val="Hyperlink"/>
                </w:rPr>
                <w:t xml:space="preserve">https://www.aihw.gov.au</w:t>
              </w:r>
            </w:hyperlink>
            <w:r>
              <w:rPr>
                <w:rStyle w:val="row-content-rich-text"/>
              </w:rPr>
              <w:t xml:space="preserve">.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via email to </w:t>
            </w:r>
            <w:hyperlink w:history="true" r:id="R55573c95847a4a45">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Interpretability</w:t>
            </w:r>
          </w:p>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2107d58daed94afd">
              <w:r>
                <w:rPr>
                  <w:rStyle w:val="Hyperlink"/>
                </w:rPr>
                <w:t xml:space="preserve">/content/index.phtml/itemId/466861</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Relevance </w:t>
            </w:r>
          </w:p>
          <w:p>
            <w:pPr>
              <w:spacing w:after="160"/>
            </w:pPr>
            <w:r>
              <w:rPr>
                <w:rStyle w:val="row-content-rich-text"/>
              </w:rPr>
              <w:t xml:space="preserve">The AODTS NMDS contains information on treatment episodes provided by publicly 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 funded alcohol and other drug treatment services. Agencies are excluded from the AODTS NMDS if they:</w:t>
            </w:r>
          </w:p>
          <w:p>
            <w:pPr>
              <w:pStyle w:val="ListParagraph"/>
              <w:numPr>
                <w:ilvl w:val="0"/>
                <w:numId w:val="2"/>
              </w:numPr>
            </w:pPr>
            <w:r>
              <w:rPr>
                <w:rStyle w:val="row-content-rich-text"/>
              </w:rPr>
              <w:t xml:space="preserve">do not receive any public funding</w:t>
            </w:r>
          </w:p>
          <w:p>
            <w:pPr>
              <w:pStyle w:val="ListParagraph"/>
              <w:numPr>
                <w:ilvl w:val="0"/>
                <w:numId w:val="2"/>
              </w:numPr>
            </w:pPr>
            <w:r>
              <w:rPr>
                <w:rStyle w:val="row-content-rich-text"/>
              </w:rPr>
              <w:t xml:space="preserve">provide accommodation as their main function (including half-way houses and sobering-up shelters)</w:t>
            </w:r>
          </w:p>
          <w:p>
            <w:pPr>
              <w:pStyle w:val="ListParagraph"/>
              <w:numPr>
                <w:ilvl w:val="0"/>
                <w:numId w:val="2"/>
              </w:numPr>
            </w:pPr>
            <w:r>
              <w:rPr>
                <w:rStyle w:val="row-content-rich-text"/>
              </w:rPr>
              <w:t xml:space="preserve">are located in prisons or detention centres</w:t>
            </w:r>
          </w:p>
          <w:p>
            <w:pPr>
              <w:pStyle w:val="ListParagraph"/>
              <w:numPr>
                <w:ilvl w:val="0"/>
                <w:numId w:val="2"/>
              </w:numPr>
            </w:pPr>
            <w:r>
              <w:rPr>
                <w:rStyle w:val="row-content-rich-text"/>
              </w:rPr>
              <w:t xml:space="preserve">are located in acute care or psychiatric hospitals and only provide treatment to admitted patients</w:t>
            </w:r>
          </w:p>
          <w:p>
            <w:pPr>
              <w:pStyle w:val="ListParagraph"/>
              <w:numPr>
                <w:ilvl w:val="0"/>
                <w:numId w:val="2"/>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OATSIH-funded primary health care services and substance 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3"/>
              </w:numPr>
            </w:pPr>
            <w:r>
              <w:rPr>
                <w:rStyle w:val="row-content-rich-text"/>
              </w:rPr>
              <w:t xml:space="preserve">the treatment is completed or has ceased</w:t>
            </w:r>
          </w:p>
          <w:p>
            <w:pPr>
              <w:pStyle w:val="ListParagraph"/>
              <w:numPr>
                <w:ilvl w:val="0"/>
                <w:numId w:val="3"/>
              </w:numPr>
            </w:pPr>
            <w:r>
              <w:rPr>
                <w:rStyle w:val="row-content-rich-text"/>
              </w:rPr>
              <w:t xml:space="preserve">there has been no contact between the client and treatment provider for 3 months</w:t>
            </w:r>
          </w:p>
          <w:p>
            <w:pPr>
              <w:pStyle w:val="ListParagraph"/>
              <w:numPr>
                <w:ilvl w:val="0"/>
                <w:numId w:val="3"/>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4"/>
              </w:numPr>
            </w:pPr>
            <w:r>
              <w:rPr>
                <w:rStyle w:val="row-content-rich-text"/>
              </w:rPr>
              <w:t xml:space="preserve">are not closed in the relevant financial year</w:t>
            </w:r>
          </w:p>
          <w:p>
            <w:pPr>
              <w:pStyle w:val="ListParagraph"/>
              <w:numPr>
                <w:ilvl w:val="0"/>
                <w:numId w:val="4"/>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4"/>
              </w:numPr>
            </w:pPr>
            <w:r>
              <w:rPr>
                <w:rStyle w:val="row-content-rich-text"/>
              </w:rPr>
              <w:t xml:space="preserve">only include activities relating to needle and syringe exchange</w:t>
            </w:r>
          </w:p>
          <w:p>
            <w:pPr>
              <w:pStyle w:val="ListParagraph"/>
              <w:numPr>
                <w:ilvl w:val="0"/>
                <w:numId w:val="4"/>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5"/>
              </w:numPr>
            </w:pPr>
            <w:r>
              <w:rPr>
                <w:rStyle w:val="row-content-rich-text"/>
              </w:rPr>
              <w:t xml:space="preserve">the client: sex, date of birth, Indigenous status, country of birth, preferred language, source of referral and injecting drug status</w:t>
            </w:r>
          </w:p>
          <w:p>
            <w:pPr>
              <w:pStyle w:val="ListParagraph"/>
              <w:numPr>
                <w:ilvl w:val="0"/>
                <w:numId w:val="5"/>
              </w:numPr>
            </w:pPr>
            <w:r>
              <w:rPr>
                <w:rStyle w:val="row-content-rich-text"/>
              </w:rPr>
              <w:t xml:space="preserve">whether the client is receiving treatment for their own drug use or someone else’s drug use</w:t>
            </w:r>
          </w:p>
          <w:p>
            <w:pPr>
              <w:pStyle w:val="ListParagraph"/>
              <w:numPr>
                <w:ilvl w:val="0"/>
                <w:numId w:val="5"/>
              </w:numPr>
            </w:pPr>
            <w:r>
              <w:rPr>
                <w:rStyle w:val="row-content-rich-text"/>
              </w:rPr>
              <w:t xml:space="preserve">the drugs of concern (principal drug of concern and up to 5 additional drugs of concern) </w:t>
            </w:r>
          </w:p>
          <w:p>
            <w:pPr>
              <w:pStyle w:val="ListParagraph"/>
              <w:numPr>
                <w:ilvl w:val="0"/>
                <w:numId w:val="5"/>
              </w:numPr>
            </w:pPr>
            <w:r>
              <w:rPr>
                <w:rStyle w:val="row-content-rich-text"/>
              </w:rPr>
              <w:t xml:space="preserve">the method of use for the principal drug of concern</w:t>
            </w:r>
          </w:p>
          <w:p>
            <w:pPr>
              <w:pStyle w:val="ListParagraph"/>
              <w:numPr>
                <w:ilvl w:val="0"/>
                <w:numId w:val="5"/>
              </w:numPr>
            </w:pPr>
            <w:r>
              <w:rPr>
                <w:rStyle w:val="row-content-rich-text"/>
              </w:rPr>
              <w:t xml:space="preserve">types of treatment (main treatment type and up to 4 additional treatment types)</w:t>
            </w:r>
          </w:p>
          <w:p>
            <w:pPr>
              <w:pStyle w:val="ListParagraph"/>
              <w:numPr>
                <w:ilvl w:val="0"/>
                <w:numId w:val="5"/>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Therefore, it is not possible to count the number of distinct clients receiving treatment as clients may have multiple treatment episodes in a financial year.</w:t>
            </w:r>
          </w:p>
          <w:p>
            <w:pPr/>
            <w:r>
              <w:rPr>
                <w:rStyle w:val="row-content-rich-text"/>
              </w:rPr>
              <w:t xml:space="preserve">In future years, the AODTS NMDS will include data items that will allow distinct clients to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Accuracy </w:t>
            </w:r>
          </w:p>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Almost 90% of in-scope treatment services provided data for the AODTS NMDS in 2011–12; this ranged from 82% in the Australian Capital Territory to 100% in Western Australia, the Northern Territory and Tasmania.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2011–12 is good. For most data elements, less than 2% of records have missing data (including not stated or unknown responses) while around 5% of records have an unknown Indigenous status. Of the records relating to episodes provided to clients receiving treatment for their own drug use, reason for cessation is not available for 3%, method of drug use is not available for 4% and injecting drug use status is not available for 15%.</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online system. NADA (Network of Alcohol and other Drug Agencies) is the peak organisation for the non-government drug and alcohol sector in NSW.</w:t>
            </w:r>
          </w:p>
          <w:p>
            <w:pPr>
              <w:spacing w:after="160"/>
            </w:pPr>
            <w:r>
              <w:rPr>
                <w:rStyle w:val="row-content-rich-text"/>
              </w:rPr>
              <w:t xml:space="preserve">For 2008–09, the total number of agencies and episodes for New South Wales was under-reported by about 12 agencies because of system issues. As these agencies had a relatively high proportion of methamphetamine clients, the number of episodes for amphetamine use will be under-reported.</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one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The majority of Victorian alcohol and other drug service providers continue to use the SWITCH or FullADIS information systems to report quarterly activity. However, hospitals and community health centres have since 2007–08 used the HealthSMART client management systems to report on alcohol and other drug treatment activity.</w:t>
            </w:r>
          </w:p>
          <w:p>
            <w:pPr>
              <w:spacing w:after="160"/>
            </w:pPr>
            <w:r>
              <w:rPr>
                <w:rStyle w:val="row-content-rich-text"/>
              </w:rPr>
              <w:t xml:space="preserve">Victoria does not differentiate between main and other treatment types. Caution should be used in comparing Victorian episodes with those of other states and territories. As such, Victoria is not directly comparable with other jurisdictions because every treatment type provided is reported as a separate episode.</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will be available from 2012–13.</w:t>
            </w:r>
          </w:p>
          <w:p>
            <w:pPr>
              <w:spacing w:after="160"/>
            </w:pPr>
            <w:r>
              <w:rPr>
                <w:rStyle w:val="row-content-rich-text"/>
                <w:b/>
              </w:rPr>
              <w:t xml:space="preserve">Queensland</w:t>
            </w:r>
            <w:r>
              <w:rPr>
                <w:rStyle w:val="row-content-rich-text"/>
              </w:rPr>
              <w:t xml:space="preserve"> </w:t>
            </w:r>
          </w:p>
          <w:p>
            <w:pPr>
              <w:spacing w:after="160"/>
            </w:pPr>
            <w:r>
              <w:rPr>
                <w:rStyle w:val="row-content-rich-text"/>
              </w:rPr>
              <w:t xml:space="preserve">Queensland Department of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Queensland Department of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the Queensland Department of Health has funded the Queensland Network of Alcohol and Drug Agencies Ltd (QNADA) to collate and deliver to the Queensland Department of Health aggregated AODTS NMDS data for the Alcohol and Other Drug Non-Government Sector.</w:t>
            </w:r>
          </w:p>
          <w:p>
            <w:pPr>
              <w:spacing w:after="160"/>
            </w:pPr>
            <w:r>
              <w:rPr>
                <w:rStyle w:val="row-content-rich-text"/>
              </w:rPr>
              <w:t xml:space="preserve">Care should be taken when interpreting principal drug of concern over time for Queensland, as Queensland did not provide data consistent with the AODTS NMDS specifications in 2001–02.</w:t>
            </w:r>
          </w:p>
          <w:p>
            <w:pPr>
              <w:spacing w:after="160"/>
            </w:pPr>
            <w:r>
              <w:rPr>
                <w:rStyle w:val="row-content-rich-text"/>
              </w:rPr>
              <w:t xml:space="preserve">The proportion of ‘not stated’ responses for injecting drug use and method of use in Queensland in 2010–11 was high (59% and 58%, respectively). This high ‘not stated’ rate was due to a one-off anomaly with the introduction of a new collection database and data entry issues related to staff training and compliance. An ongoing strategy of re-engagement with alcohol and other drug treatment services Queensland staff commenced in November 2011 to mitigate this low response rate for the 2010–11 and future collection periods.</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Data are provided by both government and non-government sectors. Non-government services are contracted by the Drug and Alcohol Office (DAO) to provide alcohol and drug services. They have contractual obligations to incorporate the data elements of the AODTS NMDS in their collections. They are also obliged to provide data in a regular and timely manner to DAO. These data are collated and checked by DAO before submission to the AIHW annually.</w:t>
            </w:r>
          </w:p>
          <w:p>
            <w:pPr>
              <w:spacing w:after="160"/>
            </w:pPr>
            <w:r>
              <w:rPr>
                <w:rStyle w:val="row-content-rich-text"/>
              </w:rPr>
              <w:t xml:space="preserve">Due to the increase in integrated services that include government and non-government service providers, caution should be used in comparing services in Western Australia with those in other states and territories and across years. Services in Western Australia are not directly comparable with other states, or previous years, because of the growth of integrated services that include government and non-government service providers.</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spacing w:after="160"/>
            </w:pPr>
            <w:r>
              <w:rPr>
                <w:rStyle w:val="row-content-rich-text"/>
              </w:rPr>
              <w:t xml:space="preserve">Western Australia reviews the geographical demographics of their clients regularly throughout the year and adjusts the locations of their service delivery outlets accordingly to meet the demands of the population. Therefore, variation between remote and very remote locations exists between years.</w:t>
            </w:r>
          </w:p>
          <w:p>
            <w:pPr>
              <w:spacing w:after="160"/>
            </w:pPr>
            <w:r>
              <w:rPr>
                <w:rStyle w:val="row-content-rich-text"/>
              </w:rPr>
              <w:t xml:space="preserve">Clients are generally able to access the agencies from multiple sites within any one episode depending on the client’s need and the availability of appointments within the alcohol and other drug treatment service. Examples of where these situations occur are when clients:</w:t>
            </w:r>
          </w:p>
          <w:p>
            <w:pPr>
              <w:pStyle w:val="ListParagraph"/>
              <w:numPr>
                <w:ilvl w:val="0"/>
                <w:numId w:val="6"/>
              </w:numPr>
            </w:pPr>
            <w:r>
              <w:rPr>
                <w:rStyle w:val="row-content-rich-text"/>
              </w:rPr>
              <w:t xml:space="preserve">follow a specific worker from one service delivery outlet to another</w:t>
            </w:r>
          </w:p>
          <w:p>
            <w:pPr>
              <w:pStyle w:val="ListParagraph"/>
              <w:numPr>
                <w:ilvl w:val="0"/>
                <w:numId w:val="6"/>
              </w:numPr>
            </w:pPr>
            <w:r>
              <w:rPr>
                <w:rStyle w:val="row-content-rich-text"/>
              </w:rPr>
              <w:t xml:space="preserve">change workers during an episode and the workers are located at different service delivery outlets</w:t>
            </w:r>
          </w:p>
          <w:p>
            <w:pPr>
              <w:pStyle w:val="ListParagraph"/>
              <w:numPr>
                <w:ilvl w:val="0"/>
                <w:numId w:val="6"/>
              </w:numPr>
            </w:pPr>
            <w:r>
              <w:rPr>
                <w:rStyle w:val="row-content-rich-text"/>
              </w:rPr>
              <w:t xml:space="preserve">attend one service delivery outlet for the initial service contact (commencement of episode) due to availability of appointment times and move to a more convenient service delivery outlet during the episode</w:t>
            </w:r>
          </w:p>
          <w:p>
            <w:pPr>
              <w:pStyle w:val="ListParagraph"/>
              <w:numPr>
                <w:ilvl w:val="0"/>
                <w:numId w:val="6"/>
              </w:numPr>
            </w:pPr>
            <w:r>
              <w:rPr>
                <w:rStyle w:val="row-content-rich-text"/>
              </w:rPr>
              <w:t xml:space="preserve">move between service delivery outlets to fit service contacts within clients’ other personal needs.</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Data are provided directly to the DoHA.</w:t>
            </w:r>
          </w:p>
          <w:p>
            <w:pPr>
              <w:spacing w:after="160"/>
            </w:pPr>
            <w:r>
              <w:rPr>
                <w:rStyle w:val="row-content-rich-text"/>
                <w:b/>
              </w:rPr>
              <w:t xml:space="preserve">Tasmania</w:t>
            </w:r>
          </w:p>
          <w:p>
            <w:pPr>
              <w:spacing w:after="160"/>
            </w:pPr>
            <w:r>
              <w:rPr>
                <w:rStyle w:val="row-content-rich-text"/>
              </w:rPr>
              <w:t xml:space="preserve">Data are provided by both government (Alcohol and Drug Services—ADS) and non-government organisations (NGOs).</w:t>
            </w:r>
          </w:p>
          <w:p>
            <w:pPr>
              <w:spacing w:after="160"/>
            </w:pPr>
            <w:r>
              <w:rPr>
                <w:rStyle w:val="row-content-rich-text"/>
              </w:rPr>
              <w:t xml:space="preserve">NGOs funded by the Tasmanian Government provide AODTS NMDS and key performance indicator data under the provisions of a service agreement. AODTS NMDS data are submitted to ADS State Office on either a six-monthly or yearly basis. Data quality reports are fed back to the NGOs and training/information on data capture practices are provided as required.</w:t>
            </w:r>
          </w:p>
          <w:p>
            <w:pPr>
              <w:spacing w:after="160"/>
            </w:pPr>
            <w:r>
              <w:rPr>
                <w:rStyle w:val="row-content-rich-text"/>
              </w:rPr>
              <w:t xml:space="preserve">ADS uses the iPM patient administration system as its key business system. This state-wide system is in use across the three Tasmanian Health Organisations (THOs), which include inpatient, residential, outpatient and community service settings. It has been modified to capture the AODTS NMDS data items. A range of online self-service reporting is used to monitor performance activity and data quality.</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The Tasmania Early Intervention Project (TEIP) commenced in 2011. This project focuses on young people and involves a police caution that facilitates a referral for young people to an alcohol and other drug treatment service for brief or opportunistic intervention. AODTS NMDS data for this program is entered via the iPM patient administration system.</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still remains low.</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rPr>
              <w:t xml:space="preserve">The observed increase in assessment only episodes between 2009–10 and 2010–11 was related to one agency which increased assessment activity that resulted in increased numbers of clients being assessed as unsuitable or not attending treatment.</w:t>
            </w:r>
          </w:p>
          <w:p>
            <w:pPr>
              <w:spacing w:after="160"/>
            </w:pPr>
            <w:r>
              <w:rPr>
                <w:rStyle w:val="row-content-rich-text"/>
              </w:rPr>
              <w:t xml:space="preserve">The number of counselling treatment services in the Australian Capital Territory has decreased between 2009–10 and 2010–11. The Australian Capital Territory noted two agencies that provide the majority of counselling treatment in the Australian Capital Territory both reported a reduced number of closed treatment episodes since 2009-10. One agency advised there were a number of variables that contributed the low number of occasions of service, such as significant staff shortages for the counselling team and a high number of vacancies for allotted counselling sessions.</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the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and Ageing (DoHA) </w:t>
            </w:r>
          </w:p>
          <w:p>
            <w:pPr>
              <w:spacing w:after="160"/>
            </w:pPr>
            <w:r>
              <w:rPr>
                <w:rStyle w:val="row-content-rich-text"/>
              </w:rPr>
              <w:t xml:space="preserve">DoHA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Western Australia, South Australia, New South Wales and Queensland, which submit data annually to the DoHA.</w:t>
            </w:r>
          </w:p>
          <w:p>
            <w:pPr>
              <w:spacing w:after="160"/>
            </w:pPr>
            <w:r>
              <w:rPr>
                <w:rStyle w:val="row-content-rich-text"/>
              </w:rPr>
              <w:t xml:space="preserve">Reported numbers for each state and territory in the AODTS NMDS annual report include services provided under the National Illicit Drug Strategy NGOTGP.</w:t>
            </w:r>
          </w:p>
          <w:p>
            <w:pPr>
              <w:spacing w:after="160"/>
            </w:pPr>
            <w:r>
              <w:rPr>
                <w:rStyle w:val="row-content-rich-text"/>
              </w:rPr>
              <w:t xml:space="preserve">To ensure consistency with previous years’ data, where an organisation’s sub-agencies have been given more than one establishment identifier, those identifiers were used and so sub-agencies were counted as separate agencies. When an organisation’s subprojects have been given one establishment identifier, only this establishment identifier was used, and so counted as one agency.</w:t>
            </w:r>
          </w:p>
          <w:p>
            <w:pPr/>
            <w:r>
              <w:rPr>
                <w:rStyle w:val="row-content-rich-text"/>
              </w:rPr>
              <w:t xml:space="preserve">In 2011–12, the DoHA conducted a review of the processes used to collate and provide NGOTGP agencies. The review resulted in an additional 14 agencies submitting data to the 2011–12 collection from what was observed in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Coherence</w:t>
            </w:r>
          </w:p>
          <w:p>
            <w:pPr/>
            <w:r>
              <w:rPr>
                <w:rStyle w:val="row-content-rich-text"/>
              </w:rPr>
              <w:t xml:space="preserve">The AODTS NMDS was initially developed from 1996 to 2001 and the first report containing data from the AODTS NMDS was published in 2002. The data specifications were significantly altered for the 2003–04 collection and data from 2000–01 to 2002–03 are not comparable with data from later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14/06/2013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de7c4ecc9a43d3">
              <w:r>
                <w:rPr>
                  <w:rStyle w:val="Hyperlink"/>
                </w:rPr>
                <w:t xml:space="preserve">Alcohol and Other Drug Treatment Services–National Minimum Dataset 2010–11 Report - Data quality statement</w:t>
              </w:r>
            </w:hyperlink>
          </w:p>
          <w:p>
            <w:pPr>
              <w:spacing w:before="0" w:after="0"/>
            </w:pPr>
            <w:r>
              <w:rPr>
                <w:rStyle w:val="row-content"/>
                <w:color w:val="244061"/>
              </w:rPr>
              <w:t xml:space="preserve">       </w:t>
            </w:r>
            <w:hyperlink w:history="true" r:id="R1dd73e74ead74edf">
              <w:r>
                <w:rPr>
                  <w:rStyle w:val="Hyperlink"/>
                  <w:color w:val="244061"/>
                </w:rPr>
                <w:t xml:space="preserve">AIHW Data Quality Statements</w:t>
              </w:r>
            </w:hyperlink>
            <w:r>
              <w:rPr>
                <w:rStyle w:val="row-content"/>
                <w:color w:val="244061"/>
              </w:rPr>
              <w:t xml:space="preserve">, Superseded 31/07/2014</w:t>
            </w:r>
          </w:p>
          <w:p>
            <w:r>
              <w:br/>
            </w:r>
            <w:r>
              <w:rPr>
                <w:rStyle w:val="row-content"/>
              </w:rPr>
              <w:t xml:space="preserve">Has been superseded by </w:t>
            </w:r>
            <w:hyperlink w:history="true" r:id="Rf10fd5231afb41a6">
              <w:r>
                <w:rPr>
                  <w:rStyle w:val="Hyperlink"/>
                </w:rPr>
                <w:t xml:space="preserve">Alcohol and other drug treatment services NMDS, 2012–13; Quality Statement</w:t>
              </w:r>
            </w:hyperlink>
          </w:p>
          <w:p>
            <w:pPr>
              <w:spacing w:before="0" w:after="0"/>
            </w:pPr>
            <w:r>
              <w:rPr>
                <w:rStyle w:val="row-content"/>
                <w:color w:val="244061"/>
              </w:rPr>
              <w:t xml:space="preserve">       </w:t>
            </w:r>
            <w:hyperlink w:history="true" r:id="R1e75cc98d1a947b3">
              <w:r>
                <w:rPr>
                  <w:rStyle w:val="Hyperlink"/>
                  <w:color w:val="244061"/>
                </w:rPr>
                <w:t xml:space="preserve">AIHW Data Quality Statements</w:t>
              </w:r>
            </w:hyperlink>
            <w:r>
              <w:rPr>
                <w:rStyle w:val="row-content"/>
                <w:color w:val="244061"/>
              </w:rPr>
              <w:t xml:space="preserve">, Superseded 25/05/2015</w:t>
            </w:r>
          </w:p>
          <w:p>
            <w:r>
              <w:br/>
            </w:r>
          </w:p>
        </w:tc>
      </w:tr>
    </w:tbl>
    <w:p>
      <w:r>
        <w:br/>
      </w:r>
    </w:p>
    <w:sectPr>
      <w:footerReference xmlns:r="http://schemas.openxmlformats.org/officeDocument/2006/relationships" w:type="default" r:id="Rf31c125ed7d9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5fecd2c2d1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c125ed7d94b6f" /><Relationship Type="http://schemas.openxmlformats.org/officeDocument/2006/relationships/header" Target="/word/header1.xml" Id="R6d65fcd8da8c4433" /><Relationship Type="http://schemas.openxmlformats.org/officeDocument/2006/relationships/settings" Target="/word/settings.xml" Id="Rf73073eef8134c8e" /><Relationship Type="http://schemas.openxmlformats.org/officeDocument/2006/relationships/styles" Target="/word/styles.xml" Id="Rbafc9a6ac9cd46a7" /><Relationship Type="http://schemas.openxmlformats.org/officeDocument/2006/relationships/hyperlink" Target="https://meteor.aihw.gov.au/RegistrationAuthority/5" TargetMode="External" Id="R159e78d5ae494293" /><Relationship Type="http://schemas.openxmlformats.org/officeDocument/2006/relationships/hyperlink" Target="http://www.aihw.gov.au/" TargetMode="External" Id="R29fc0a7750f2440b" /><Relationship Type="http://schemas.openxmlformats.org/officeDocument/2006/relationships/hyperlink" Target="https://www.aihw.gov.au" TargetMode="External" Id="Rd73d18970215494b" /><Relationship Type="http://schemas.openxmlformats.org/officeDocument/2006/relationships/hyperlink" Target="mailto:info@aihw.gov.au" TargetMode="External" Id="R55573c95847a4a45" /><Relationship Type="http://schemas.openxmlformats.org/officeDocument/2006/relationships/hyperlink" Target="https://meteor.aihw.gov.au/content/466861" TargetMode="External" Id="R2107d58daed94afd" /><Relationship Type="http://schemas.openxmlformats.org/officeDocument/2006/relationships/numbering" Target="/word/numbering.xml" Id="Re4dfca84c7154794" /><Relationship Type="http://schemas.openxmlformats.org/officeDocument/2006/relationships/hyperlink" Target="https://meteor.aihw.gov.au/content/498552" TargetMode="External" Id="R6dde7c4ecc9a43d3" /><Relationship Type="http://schemas.openxmlformats.org/officeDocument/2006/relationships/hyperlink" Target="https://meteor.aihw.gov.au/RegistrationAuthority/5" TargetMode="External" Id="R1dd73e74ead74edf" /><Relationship Type="http://schemas.openxmlformats.org/officeDocument/2006/relationships/hyperlink" Target="https://meteor.aihw.gov.au/content/558819" TargetMode="External" Id="Rf10fd5231afb41a6" /><Relationship Type="http://schemas.openxmlformats.org/officeDocument/2006/relationships/hyperlink" Target="https://meteor.aihw.gov.au/RegistrationAuthority/5" TargetMode="External" Id="R1e75cc98d1a947b3" /></Relationships>
</file>

<file path=word/_rels/header1.xml.rels>&#65279;<?xml version="1.0" encoding="utf-8"?><Relationships xmlns="http://schemas.openxmlformats.org/package/2006/relationships"><Relationship Type="http://schemas.openxmlformats.org/officeDocument/2006/relationships/image" Target="/media/image.png" Id="R665fecd2c2d146a7" /></Relationships>
</file>