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598ac516a949e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urgency category 1 elective surgery patients seen within the clinically recommended time,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urgency category 1 elective surgery patients seen within the clinically recommended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Urgency category 1 elective surgery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a47d8b13c4796">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c920163b2e4949">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b2051bcc30824f76">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d938deb64db4100">
              <w:r>
                <w:rPr>
                  <w:rStyle w:val="Hyperlink"/>
                </w:rPr>
                <w:t xml:space="preserve">Elective surgery access</w:t>
              </w:r>
            </w:hyperlink>
          </w:p>
          <w:p>
            <w:pPr>
              <w:spacing w:before="0" w:after="0"/>
            </w:pPr>
            <w:r>
              <w:rPr>
                <w:rStyle w:val="row-content"/>
                <w:color w:val="244061"/>
              </w:rPr>
              <w:t xml:space="preserve">       </w:t>
            </w:r>
            <w:hyperlink w:history="true" r:id="Rf1aabd78107d4c9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spacing w:after="160"/>
            </w:pPr>
            <w:r>
              <w:rPr>
                <w:rStyle w:val="row-content-rich-text"/>
              </w:rPr>
              <w:t xml:space="preserve">The recommended wait time before treatment, in days, for urgency category 1 patients is 30 days or less (i.e. &lt;= 30 days).</w:t>
            </w:r>
          </w:p>
          <w:p>
            <w:pPr/>
            <w:r>
              <w:rPr>
                <w:rStyle w:val="row-content-rich-text"/>
              </w:rPr>
              <w:t xml:space="preserve">The indicator is calculated for urgency category 1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the benchmark for urgency category 1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650" w:type="pct"/>
                  <w:vAlign w:val="top"/>
                </w:tcPr>
                <w:p>
                  <w:pPr/>
                  <w:r>
                    <w:rPr>
                      <w:rStyle w:val="row-content-rich-text"/>
                      <w:b/>
                    </w:rPr>
                    <w:t xml:space="preserve">Clinical urgency category</w:t>
                  </w:r>
                </w:p>
              </w:tc>
              <w:tc>
                <w:tcPr>
                  <w:tcW w:w="3300" w:type="pct"/>
                  <w:vAlign w:val="top"/>
                </w:tcPr>
                <w:p>
                  <w:r>
                    <w:rPr>
                      <w:b/>
                    </w:rPr>
                    <w:t xml:space="preserve">National standards (desirable treatment times)</w:t>
                  </w:r>
                </w:p>
              </w:tc>
            </w:tr>
            <w:tr>
              <w:trPr/>
              <w:tc>
                <w:tcPr>
                  <w:tcW w:w="1650" w:type="pct"/>
                  <w:vAlign w:val="top"/>
                </w:tcPr>
                <w:p>
                  <w:r>
                    <w:t xml:space="preserve">Category 1 - Urgent</w:t>
                  </w:r>
                </w:p>
              </w:tc>
              <w:tc>
                <w:tcPr>
                  <w:tcW w:w="3300" w:type="pct"/>
                  <w:vAlign w:val="top"/>
                </w:tcPr>
                <w:p>
                  <w:r>
                    <w:t xml:space="preserve">Admission within 30 days (i.e. &lt;= 30 days)</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dfa14e50724119">
              <w:r>
                <w:rPr>
                  <w:rStyle w:val="Hyperlink"/>
                </w:rPr>
                <w:t xml:space="preserve">Person—person identifier, identifier (Tasmanian) N(9)</w:t>
              </w:r>
            </w:hyperlink>
          </w:p>
          <w:p>
            <w:r>
              <w:rPr>
                <w:rStyle w:val="row-content"/>
                <w:b/>
                <w:color w:val="000000"/>
              </w:rPr>
              <w:t xml:space="preserve">Data Element / Data Set</w:t>
            </w:r>
          </w:p>
          <w:p>
            <w:hyperlink w:history="true" r:id="Rc73b8e79ca45489e">
              <w:r>
                <w:rPr>
                  <w:rStyle w:val="Hyperlink"/>
                </w:rPr>
                <w:t xml:space="preserve">Establishment—organisation identifier, (Tasmanian) identifier NNNN</w:t>
              </w:r>
            </w:hyperlink>
          </w:p>
          <w:p>
            <w:r>
              <w:rPr>
                <w:rStyle w:val="row-content"/>
                <w:b/>
                <w:color w:val="000000"/>
              </w:rPr>
              <w:t xml:space="preserve">Data Element / Data Set</w:t>
            </w:r>
          </w:p>
          <w:p>
            <w:hyperlink w:history="true" r:id="Rc46cd6fc7d124fa7">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b/>
                <w:color w:val="000000"/>
              </w:rPr>
              <w:t xml:space="preserve">Data Element / Data Set</w:t>
            </w:r>
          </w:p>
          <w:p>
            <w:hyperlink w:history="true" r:id="R8399af6340c14a56">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b/>
                <w:color w:val="000000"/>
              </w:rPr>
              <w:t xml:space="preserve">Data Element / Data Set</w:t>
            </w:r>
          </w:p>
          <w:p>
            <w:hyperlink w:history="true" r:id="R177edcdfe4fd42a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55277ceb554f4f68">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dd99e36422b94ddf">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rPr>
                <w:b/>
                <w:color w:val="000000"/>
              </w:rPr>
              <w:t xml:space="preserve">Data Element / Data Set</w:t>
            </w:r>
          </w:p>
          <w:p>
            <w:hyperlink w:history="true" r:id="R7af95251abfa4645">
              <w:r>
                <w:rPr>
                  <w:rStyle w:val="Hyperlink"/>
                </w:rPr>
                <w:t xml:space="preserve">Elective care waiting list episode—waiting time (at removal), total days N[NNN]</w:t>
              </w:r>
            </w:hyperlink>
          </w:p>
          <w:p>
            <w:r>
              <w:rPr>
                <w:b/>
              </w:rPr>
              <w:t xml:space="preserve">Guide for use</w:t>
            </w:r>
          </w:p>
          <w:p>
            <w:r>
              <w:t xml:space="preserve"> </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 </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5a9021cf8f4737">
              <w:r>
                <w:rPr>
                  <w:rStyle w:val="Hyperlink"/>
                </w:rPr>
                <w:t xml:space="preserve">Person—person identifier, identifier (Tasmanian) N(9)</w:t>
              </w:r>
            </w:hyperlink>
          </w:p>
          <w:p>
            <w:r>
              <w:rPr>
                <w:rStyle w:val="row-content"/>
                <w:b/>
                <w:color w:val="000000"/>
              </w:rPr>
              <w:t xml:space="preserve">Data Element / Data Set</w:t>
            </w:r>
          </w:p>
          <w:p>
            <w:hyperlink w:history="true" r:id="R390778e20e654aca">
              <w:r>
                <w:rPr>
                  <w:rStyle w:val="Hyperlink"/>
                </w:rPr>
                <w:t xml:space="preserve">Establishment—organisation identifier, (Tasmanian) identifier NNNN</w:t>
              </w:r>
            </w:hyperlink>
          </w:p>
          <w:p>
            <w:r>
              <w:rPr>
                <w:rStyle w:val="row-content"/>
                <w:b/>
                <w:color w:val="000000"/>
              </w:rPr>
              <w:t xml:space="preserve">Data Element / Data Set</w:t>
            </w:r>
          </w:p>
          <w:p>
            <w:hyperlink w:history="true" r:id="Ra0ce477defce4b7b">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b/>
                <w:color w:val="000000"/>
              </w:rPr>
              <w:t xml:space="preserve">Data Element / Data Set</w:t>
            </w:r>
          </w:p>
          <w:p>
            <w:hyperlink w:history="true" r:id="R6c2551f262554372">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624e2a60a54a497c">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300" w:type="pct"/>
                  <w:vAlign w:val="top"/>
                </w:tcPr>
                <w:p>
                  <w:r>
                    <w:rPr>
                      <w:rStyle w:val="row-content"/>
                    </w:rPr>
                    <w:t xml:space="preserve">Value</w:t>
                  </w:r>
                </w:p>
              </w:tc>
              <w:tc>
                <w:tcPr>
                  <w:tcW w:w="3650" w:type="pct"/>
                  <w:vAlign w:val="top"/>
                </w:tcPr>
                <w:p>
                  <w:r>
                    <w:t xml:space="preserve">Meaning</w:t>
                  </w:r>
                </w:p>
              </w:tc>
            </w:tr>
            <w:tr>
              <w:trPr/>
              <w:tc>
                <w:tcPr>
                  <w:tcW w:w="1300" w:type="pct"/>
                  <w:vAlign w:val="top"/>
                </w:tcPr>
                <w:p>
                  <w:r>
                    <w:t xml:space="preserve">1</w:t>
                  </w:r>
                </w:p>
              </w:tc>
              <w:tc>
                <w:tcPr>
                  <w:tcW w:w="3650" w:type="pct"/>
                  <w:vAlign w:val="top"/>
                </w:tcPr>
                <w:p>
                  <w:r>
                    <w:t xml:space="preserve">1 - Urgent</w:t>
                  </w:r>
                </w:p>
              </w:tc>
            </w:tr>
          </w:tbl>
          <w:p>
            <w:r>
              <w:t xml:space="preserve"> </w:t>
            </w:r>
          </w:p>
          <w:p>
            <w:r>
              <w:t xml:space="preserve"> </w:t>
            </w:r>
          </w:p>
          <w:p>
            <w:r>
              <w:rPr>
                <w:b/>
                <w:color w:val="000000"/>
              </w:rPr>
              <w:t xml:space="preserve">Data Element / Data Set</w:t>
            </w:r>
          </w:p>
          <w:p>
            <w:hyperlink w:history="true" r:id="R9dd35f60b3094674">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436b833052429f">
              <w:r>
                <w:rPr>
                  <w:rStyle w:val="Hyperlink"/>
                </w:rPr>
                <w:t xml:space="preserve">Establishment—organisation identifier, (Tasmanian) identifier NNNN</w:t>
              </w:r>
            </w:hyperlink>
          </w:p>
          <w:p>
            <w:r>
              <w:rPr>
                <w:rStyle w:val="row-content"/>
                <w:b/>
                <w:color w:val="000000"/>
              </w:rPr>
              <w:t xml:space="preserve">Data Element / Data Set</w:t>
            </w:r>
          </w:p>
          <w:p>
            <w:hyperlink w:history="true" r:id="R860a7f67f42244a0">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 Health Reform Agreement</w:t>
            </w:r>
          </w:p>
          <w:p>
            <w:pPr>
              <w:pStyle w:val="ListParagraph"/>
              <w:numPr>
                <w:ilvl w:val="0"/>
                <w:numId w:val="2"/>
              </w:numPr>
            </w:pPr>
            <w:r>
              <w:rPr>
                <w:rStyle w:val="row-content-rich-text"/>
              </w:rPr>
              <w:t xml:space="preserve">2013-14 Service Agreement</w:t>
            </w:r>
          </w:p>
          <w:p>
            <w:pPr>
              <w:pStyle w:val="ListParagraph"/>
              <w:numPr>
                <w:ilvl w:val="0"/>
                <w:numId w:val="2"/>
              </w:numPr>
            </w:pPr>
            <w:r>
              <w:rPr>
                <w:rStyle w:val="row-content-rich-text"/>
              </w:rPr>
              <w:t xml:space="preserve">Your Health and Human Services: Progress Chart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9533c40e1f4ea9">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76dc7af4736f4b59">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6dbf157eb0a7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6b86c29e4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f157eb0a740a4" /><Relationship Type="http://schemas.openxmlformats.org/officeDocument/2006/relationships/header" Target="/word/header1.xml" Id="R8eb1edb4ac084c29" /><Relationship Type="http://schemas.openxmlformats.org/officeDocument/2006/relationships/settings" Target="/word/settings.xml" Id="Racffeadd936b4c63" /><Relationship Type="http://schemas.openxmlformats.org/officeDocument/2006/relationships/styles" Target="/word/styles.xml" Id="R315e7996047c42bd" /><Relationship Type="http://schemas.openxmlformats.org/officeDocument/2006/relationships/hyperlink" Target="https://meteor.aihw.gov.au/RegistrationAuthority/15" TargetMode="External" Id="R042a47d8b13c4796" /><Relationship Type="http://schemas.openxmlformats.org/officeDocument/2006/relationships/hyperlink" Target="https://meteor.aihw.gov.au/content/523451" TargetMode="External" Id="R18c920163b2e4949" /><Relationship Type="http://schemas.openxmlformats.org/officeDocument/2006/relationships/hyperlink" Target="https://meteor.aihw.gov.au/RegistrationAuthority/15" TargetMode="External" Id="Rb2051bcc30824f76" /><Relationship Type="http://schemas.openxmlformats.org/officeDocument/2006/relationships/hyperlink" Target="https://meteor.aihw.gov.au/content/511658" TargetMode="External" Id="R2d938deb64db4100" /><Relationship Type="http://schemas.openxmlformats.org/officeDocument/2006/relationships/hyperlink" Target="https://meteor.aihw.gov.au/RegistrationAuthority/15" TargetMode="External" Id="Rf1aabd78107d4c9f" /><Relationship Type="http://schemas.openxmlformats.org/officeDocument/2006/relationships/hyperlink" Target="https://meteor.aihw.gov.au/content/416555" TargetMode="External" Id="Rbedfa14e50724119" /><Relationship Type="http://schemas.openxmlformats.org/officeDocument/2006/relationships/hyperlink" Target="https://meteor.aihw.gov.au/content/416596" TargetMode="External" Id="Rc73b8e79ca45489e" /><Relationship Type="http://schemas.openxmlformats.org/officeDocument/2006/relationships/hyperlink" Target="https://meteor.aihw.gov.au/content/448296" TargetMode="External" Id="Rc46cd6fc7d124fa7" /><Relationship Type="http://schemas.openxmlformats.org/officeDocument/2006/relationships/hyperlink" Target="https://meteor.aihw.gov.au/content/449466" TargetMode="External" Id="R8399af6340c14a56" /><Relationship Type="http://schemas.openxmlformats.org/officeDocument/2006/relationships/hyperlink" Target="https://meteor.aihw.gov.au/content/450936" TargetMode="External" Id="R177edcdfe4fd42ad" /><Relationship Type="http://schemas.openxmlformats.org/officeDocument/2006/relationships/hyperlink" Target="https://meteor.aihw.gov.au/content/453179" TargetMode="External" Id="R55277ceb554f4f68" /><Relationship Type="http://schemas.openxmlformats.org/officeDocument/2006/relationships/hyperlink" Target="https://meteor.aihw.gov.au/content/455189" TargetMode="External" Id="Rdd99e36422b94ddf" /><Relationship Type="http://schemas.openxmlformats.org/officeDocument/2006/relationships/hyperlink" Target="https://meteor.aihw.gov.au/content/456873" TargetMode="External" Id="R7af95251abfa4645" /><Relationship Type="http://schemas.openxmlformats.org/officeDocument/2006/relationships/hyperlink" Target="https://meteor.aihw.gov.au/content/416555" TargetMode="External" Id="R685a9021cf8f4737" /><Relationship Type="http://schemas.openxmlformats.org/officeDocument/2006/relationships/hyperlink" Target="https://meteor.aihw.gov.au/content/416596" TargetMode="External" Id="R390778e20e654aca" /><Relationship Type="http://schemas.openxmlformats.org/officeDocument/2006/relationships/hyperlink" Target="https://meteor.aihw.gov.au/content/448296" TargetMode="External" Id="Ra0ce477defce4b7b" /><Relationship Type="http://schemas.openxmlformats.org/officeDocument/2006/relationships/hyperlink" Target="https://meteor.aihw.gov.au/content/449466" TargetMode="External" Id="R6c2551f262554372" /><Relationship Type="http://schemas.openxmlformats.org/officeDocument/2006/relationships/hyperlink" Target="https://meteor.aihw.gov.au/content/453179" TargetMode="External" Id="R624e2a60a54a497c" /><Relationship Type="http://schemas.openxmlformats.org/officeDocument/2006/relationships/hyperlink" Target="https://meteor.aihw.gov.au/content/455189" TargetMode="External" Id="R9dd35f60b3094674" /><Relationship Type="http://schemas.openxmlformats.org/officeDocument/2006/relationships/hyperlink" Target="https://meteor.aihw.gov.au/content/416596" TargetMode="External" Id="R36436b833052429f" /><Relationship Type="http://schemas.openxmlformats.org/officeDocument/2006/relationships/hyperlink" Target="https://meteor.aihw.gov.au/content/453179" TargetMode="External" Id="R860a7f67f42244a0" /><Relationship Type="http://schemas.openxmlformats.org/officeDocument/2006/relationships/numbering" Target="/word/numbering.xml" Id="R948e552fc0e24000" /><Relationship Type="http://schemas.openxmlformats.org/officeDocument/2006/relationships/hyperlink" Target="https://meteor.aihw.gov.au/content/581535" TargetMode="External" Id="R089533c40e1f4ea9" /><Relationship Type="http://schemas.openxmlformats.org/officeDocument/2006/relationships/hyperlink" Target="https://meteor.aihw.gov.au/RegistrationAuthority/15" TargetMode="External" Id="R76dc7af4736f4b59" /></Relationships>
</file>

<file path=word/_rels/header1.xml.rels>&#65279;<?xml version="1.0" encoding="utf-8"?><Relationships xmlns="http://schemas.openxmlformats.org/package/2006/relationships"><Relationship Type="http://schemas.openxmlformats.org/officeDocument/2006/relationships/image" Target="/media/image.png" Id="Rbd06b86c29e44990" /></Relationships>
</file>