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a9fc96cf3a74cc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09-Antenatal care, 2013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09-Antenatal care,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0cfb9e90914894">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Perinatal national minimum data set (NMDS) includes information on gestational age at first antenatal visit for births from July 2010. For births before July 2010 data collection is not consistent across jurisdictions. Caution should be used when interpreting these results.</w:t>
            </w:r>
          </w:p>
          <w:p>
            <w:pPr>
              <w:spacing w:after="160"/>
            </w:pPr>
            <w:r>
              <w:rPr>
                <w:rStyle w:val="row-content-rich-text"/>
              </w:rPr>
              <w:t xml:space="preserve">In 2010, information about number of antenatal visits was available for Queensland, South Australia, the Australian Capital Territory and the Northern Territory only. Number of antenatal visits were collected using non-standardised definitions and with variable response rates. Comparisons between jurisdictions should therefore be made with caution.</w:t>
            </w:r>
          </w:p>
          <w:p>
            <w:pPr>
              <w:spacing w:after="160"/>
            </w:pPr>
            <w:r>
              <w:rPr>
                <w:rStyle w:val="row-content-rich-text"/>
              </w:rPr>
              <w:t xml:space="preserve">The NPDC includes information on the Indigenous status of the mother only. Since 2005, all jurisdictions have collected information on Indigenous status of the mother in accordance with the Perinatal NMDS.</w:t>
            </w:r>
          </w:p>
          <w:p>
            <w:pPr/>
            <w:r>
              <w:rPr>
                <w:rStyle w:val="row-content-rich-text"/>
              </w:rPr>
              <w:t xml:space="preserve">No formal national assessment has been undertaken to determine completeness of the coverage or identification of Indigenous mothers in the NPDC or to determine variability between states and territories. The current data have not been adjusted for potential under-identification of Indigenous status of the mother and thus jurisdictional comparisons of Indigenous data should not be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p>
            <w:pPr/>
            <w:r>
              <w:rPr>
                <w:rStyle w:val="row-content-rich-text"/>
              </w:rPr>
              <w:t xml:space="preserve">Data collected as part of the National Perinatal Data Collection include a National Minimum Data Set and were supplied by state and territory health authorities to the National Perinatal Epidemiology and Statistics Unit (NPESU), a collaborating unit of the Institute.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2010. Data are collected on an ongoing basis and are compiled by the AIHW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2"/>
              </w:numPr>
            </w:pPr>
            <w:r>
              <w:rPr>
                <w:rStyle w:val="row-content-rich-text"/>
                <w:i/>
              </w:rPr>
              <w:t xml:space="preserve">Australia’s mothers and babies</w:t>
            </w:r>
            <w:r>
              <w:rPr>
                <w:rStyle w:val="row-content-rich-text"/>
              </w:rPr>
              <w:t xml:space="preserve"> annual report</w:t>
            </w:r>
          </w:p>
          <w:p>
            <w:pPr>
              <w:pStyle w:val="ListParagraph"/>
              <w:numPr>
                <w:ilvl w:val="0"/>
                <w:numId w:val="2"/>
              </w:numPr>
            </w:pPr>
            <w:r>
              <w:rPr>
                <w:rStyle w:val="row-content-rich-text"/>
              </w:rPr>
              <w:t xml:space="preserve">METeOR – online metadata repository</w:t>
            </w:r>
          </w:p>
          <w:p>
            <w:pPr>
              <w:pStyle w:val="ListParagraph"/>
              <w:numPr>
                <w:ilvl w:val="0"/>
                <w:numId w:val="2"/>
              </w:numPr>
            </w:pPr>
            <w:r>
              <w:rPr>
                <w:rStyle w:val="row-content-rich-text"/>
              </w:rPr>
              <w:t xml:space="preserve">National health data dictionary.</w:t>
            </w:r>
          </w:p>
          <w:p>
            <w:pPr/>
            <w:r>
              <w:rPr>
                <w:rStyle w:val="row-content-rich-text"/>
              </w:rPr>
              <w:t xml:space="preserve">Ad hoc data are also available on request (charges apply to recover costs). Data for this indicator are published annually in </w:t>
            </w:r>
            <w:r>
              <w:rPr>
                <w:rStyle w:val="row-content-rich-text"/>
                <w:i/>
              </w:rPr>
              <w:t xml:space="preserve">Australia’s mothers and babies</w:t>
            </w:r>
            <w:r>
              <w:rPr>
                <w:rStyle w:val="row-content-rich-text"/>
              </w:rPr>
              <w:t xml:space="preserve">; and biennially in the </w:t>
            </w:r>
            <w:r>
              <w:rPr>
                <w:rStyle w:val="row-content-rich-text"/>
                <w:i/>
              </w:rPr>
              <w:t xml:space="preserve">Aboriginal and Torres Strait Islander Health Performance Framework report</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use and quality of the NPDC are published annually in </w:t>
            </w:r>
            <w:r>
              <w:rPr>
                <w:rStyle w:val="row-content-rich-text"/>
                <w:i/>
              </w:rPr>
              <w:t xml:space="preserve">Australia’s mothers and babies</w:t>
            </w:r>
            <w:r>
              <w:rPr>
                <w:rStyle w:val="row-content-rich-text"/>
              </w:rPr>
              <w:t xml:space="preserve"> (Chapter 1), available in hard copy or on the AIHW website. Comprehensive information on the quality of Perinatal NMDS elements are published in </w:t>
            </w:r>
            <w:r>
              <w:rPr>
                <w:rStyle w:val="row-content-rich-text"/>
                <w:i/>
              </w:rPr>
              <w:t xml:space="preserve">Perinatal National Minimum</w:t>
            </w:r>
            <w:r>
              <w:br/>
            </w:r>
            <w:r>
              <w:rPr>
                <w:rStyle w:val="row-content-rich-text"/>
                <w:i/>
              </w:rPr>
              <w:t xml:space="preserve">Data Set compliance evaluation 2006 to 2009</w:t>
            </w:r>
            <w:r>
              <w:rPr>
                <w:rStyle w:val="row-content-rich-text"/>
              </w:rPr>
              <w:t xml:space="preserve">. Readers are advised to read caveat information to ensure appropriate interpretation of the performance indicator. More detailed information on the quality of Indigenous data that might affect interpretation of the indicator was published in </w:t>
            </w:r>
            <w:r>
              <w:rPr>
                <w:rStyle w:val="row-content-rich-text"/>
                <w:i/>
              </w:rPr>
              <w:t xml:space="preserve">Indigenous mothers and their babies, Australia 2001-2004</w:t>
            </w:r>
            <w:r>
              <w:rPr>
                <w:rStyle w:val="row-content-rich-text"/>
              </w:rPr>
              <w:t xml:space="preserve"> (Chapter 1 and Chapter 5).</w:t>
            </w:r>
          </w:p>
          <w:p>
            <w:pPr/>
            <w:r>
              <w:rPr>
                <w:rStyle w:val="row-content-rich-text"/>
              </w:rPr>
              <w:t xml:space="preserve">Metadata information for this indicator are published in the AIHW’s online metadata repository, METeOR. Once nationally consistent data items on antenatal care are added to the Perinatal NMDS, metadata information for this indicator will be revised in METeOR, and published in the National health data dictionary as a national standard. In December 2009, a data item on ‘pregnancy duration at the first antenatal care visit’ was added to the Perinatal NMDS and included in METeOR.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comprises data items as specified in the Perinatal national minimum data set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except in WA, where included if Gestational age is 20 weeks or more or if gestation unknown birthweight is at least 400 grams. It includes data items relating to the mother, including demographic characteristics and factors relating to the pregnancy, labour and birth; and data items relating to the baby, including birth status, sex, gestational age at birth, birthweight and neonatal morbidity and fetal deaths.</w:t>
            </w:r>
          </w:p>
          <w:p>
            <w:pPr>
              <w:spacing w:after="160"/>
            </w:pPr>
            <w:r>
              <w:rPr>
                <w:rStyle w:val="row-content-rich-text"/>
              </w:rPr>
              <w:t xml:space="preserve">The Perinatal NMDS includes information on gestational age at first antenatal visit for births from July 2010. In 2010, data reported on number of women who gave birth who attended at least one antenatal visit in the first trimester are for New South Wales, Victoria, Queensland, Western Australia, South Australia, the Australian Capital Territory and the Northern Territory only. For births before July 2010 data collection is not consistent across jurisdictions. Caution should be used when interpreting these results. Data are available in Tasmania but due to partial implementation during 2010 of antenatal information and small numbers it hasn’t been published.</w:t>
            </w:r>
          </w:p>
          <w:p>
            <w:pPr>
              <w:spacing w:after="160"/>
            </w:pPr>
            <w:r>
              <w:rPr>
                <w:rStyle w:val="row-content-rich-text"/>
              </w:rPr>
              <w:t xml:space="preserve">The Perinatal NMDS did not include number of antenatal visits data items in 2010 and national data are not currently available. Therefore, data are not available for all states and territories Data reported on number of antenatal visits are for Queensland, South Australia, the Australian Capital Territory and the Northern Territory. Data are available in Tasmania but due to partial implementation during 2010 of antenatal information and small numbers it hasn’t been published. Totals reported for this indicator are not generalisable to Australia. A standard data item to collect the number of antenatal visits data items will be introduced to the Perinatal data set specification (DSS) from July 2012.</w:t>
            </w:r>
          </w:p>
          <w:p>
            <w:pPr>
              <w:spacing w:after="160"/>
            </w:pPr>
            <w:r>
              <w:rPr>
                <w:rStyle w:val="row-content-rich-text"/>
              </w:rPr>
              <w:t xml:space="preserve">Information collected on antenatal care differs among the jurisdictions. Comparisons between states and territories should therefore be interpreted with caution.</w:t>
            </w:r>
          </w:p>
          <w:p>
            <w:pPr>
              <w:spacing w:after="160"/>
            </w:pPr>
            <w:r>
              <w:rPr>
                <w:rStyle w:val="row-content-rich-text"/>
              </w:rPr>
              <w:t xml:space="preserve">While each jurisdiction has a unique perinatal form for collecting data on which the format of the Indigenous status question and recording categories varies slightly, all systems include the NMDS item on Indigenous status of mother.</w:t>
            </w:r>
          </w:p>
          <w:p>
            <w:pPr>
              <w:spacing w:after="160"/>
            </w:pPr>
            <w:r>
              <w:rPr>
                <w:rStyle w:val="row-content-rich-text"/>
              </w:rPr>
              <w:t xml:space="preserve">No formal national assessment has been undertaken to determine completeness of the coverage of Indigenous mothers in the Perinatal NMDS. However, the proportion of Indigenous mothers for the period 2001-2010 has been consistent, at 3.6–3.9 per cent of women who gave birth. Comparisons between states and territories should be interpreted with caution.</w:t>
            </w:r>
          </w:p>
          <w:p>
            <w:pPr>
              <w:spacing w:after="160"/>
            </w:pPr>
            <w:r>
              <w:rPr>
                <w:rStyle w:val="row-content-rich-text"/>
              </w:rPr>
              <w:t xml:space="preserve">Mothers for whom Indigenous status was not stated have been excluded from analyses for this indicator.</w:t>
            </w:r>
          </w:p>
          <w:p>
            <w:pPr>
              <w:spacing w:after="160"/>
            </w:pPr>
            <w:r>
              <w:rPr>
                <w:rStyle w:val="row-content-rich-text"/>
              </w:rPr>
              <w:t xml:space="preserve">Analysis by state/territory is based on the usual residence of the mother. Excludes Australian non-residents of external territories and where the state/territory of residence was not stated.</w:t>
            </w:r>
          </w:p>
          <w:p>
            <w:pPr/>
            <w:r>
              <w:rPr>
                <w:rStyle w:val="row-content-rich-text"/>
              </w:rPr>
              <w:t xml:space="preserve">Data excludes records with missing data for gestation at first antenatal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Institute. The Institute does not have direct access to perinatal records to determine the accuracy of the data provided. However, the Institute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Institute. This indicator is calculated on data that has been reported to the AIHW. Prior to publication, these data are referred back to jurisdictions for review. The Institute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Data presented by Indigenous status are influenced by the quality and completeness of Indigenous identification of mothers which is likely to differ among jurisdictions. Approximately 0.3 per cent of mothers who gave birth in the reference period had missing Indigenous status information. No adjustments have been made for under-identification or missing Indigenous status information and thus jurisdictional comparisons should not be made.</w:t>
            </w:r>
          </w:p>
          <w:p>
            <w:pPr>
              <w:spacing w:after="160"/>
            </w:pPr>
            <w:r>
              <w:rPr>
                <w:rStyle w:val="row-content-rich-text"/>
              </w:rPr>
              <w:t xml:space="preserve">National data are not available for this indicator. Data reported for 2010 on number of women who gave birth who attended at least one antenatal visit in the first trimester are for New South Wales, Victoria, Queensland, South Australia, Western Australia, the Australian Capital Territory and the Northern Territory. Data reported for 2010 on number of antenatal visits are for Queensland, South Australia, the Australian Capital Territory and the Northern Territory only. Residents of these jurisdictions who gave birth in a different jurisdiction would not have data on antenatal care.</w:t>
            </w:r>
          </w:p>
          <w:p>
            <w:pPr/>
            <w:r>
              <w:rPr>
                <w:rStyle w:val="row-content-rich-text"/>
              </w:rPr>
              <w:t xml:space="preserve">Proportions of records missing antenatal care information on whether the first visit was in the first trimester are very different for women who resided in New South Wales (1.3 per cent), Victoria (1.8 per cent), Queensland (3.1 per cent), and the Northern Territory (1.8 per cent) compared with South Australia (8.9 per cent),Western Australia (25 per cent), for the whole year and Tasmania (53.9 per cent) for the second half of the year. Improvements in data validation in the Northern Territory, including validation against date of first of ultrasound examinations attended, has led to improved data quality and a decrease in the proportion of records missing antenatal care information, since 2007. The timing of the first visits for women missing data may be distributed differently to those whose data have been reported. There are also differences in how the jurisdictions define antenatal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interim measure is presented for this indicator, pending development and implementation of standard data definitions in the Perinatal NMDS. Data presented in future years may not be consistent or comparable with data presented here. Changing levels of Indigenous identification over time and across jurisdictions may affect the accuracy of compiling a consistent time series in future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efe9f08189424e">
              <w:r>
                <w:rPr>
                  <w:rStyle w:val="Hyperlink"/>
                </w:rPr>
                <w:t xml:space="preserve">National Indigenous Reform Agreement: PI 14-Antenatal care, 2012 QS</w:t>
              </w:r>
            </w:hyperlink>
          </w:p>
          <w:p>
            <w:pPr>
              <w:spacing w:before="0" w:after="0"/>
            </w:pPr>
            <w:r>
              <w:rPr>
                <w:rStyle w:val="row-content"/>
                <w:color w:val="244061"/>
              </w:rPr>
              <w:t xml:space="preserve">       </w:t>
            </w:r>
            <w:hyperlink w:history="true" r:id="R65372f83a8334c71">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6d63d1f7615e4359">
              <w:r>
                <w:rPr>
                  <w:rStyle w:val="Hyperlink"/>
                </w:rPr>
                <w:t xml:space="preserve">National Indigenous Reform Agreement: PI 09-Antenatal care, 2014 QS</w:t>
              </w:r>
            </w:hyperlink>
          </w:p>
          <w:p>
            <w:pPr>
              <w:spacing w:before="0" w:after="0"/>
            </w:pPr>
            <w:r>
              <w:rPr>
                <w:rStyle w:val="row-content"/>
                <w:color w:val="244061"/>
              </w:rPr>
              <w:t xml:space="preserve">       </w:t>
            </w:r>
            <w:hyperlink w:history="true" r:id="R5ef003703d424204">
              <w:r>
                <w:rPr>
                  <w:rStyle w:val="Hyperlink"/>
                  <w:color w:val="244061"/>
                </w:rPr>
                <w:t xml:space="preserve">Indigenous</w:t>
              </w:r>
            </w:hyperlink>
            <w:r>
              <w:rPr>
                <w:rStyle w:val="row-content"/>
                <w:color w:val="244061"/>
              </w:rPr>
              <w:t xml:space="preserve">, Superseded 17/02/2016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a22064b5e0348f3">
              <w:r>
                <w:rPr>
                  <w:rStyle w:val="Hyperlink"/>
                </w:rPr>
                <w:t xml:space="preserve">National Indigenous Reform Agreement: PI 09-Antenatal care, 2013</w:t>
              </w:r>
            </w:hyperlink>
          </w:p>
          <w:p>
            <w:pPr>
              <w:spacing w:before="0" w:after="0"/>
            </w:pPr>
            <w:r>
              <w:rPr>
                <w:rStyle w:val="row-content"/>
                <w:color w:val="244061"/>
              </w:rPr>
              <w:t xml:space="preserve">       </w:t>
            </w:r>
            <w:hyperlink w:history="true" r:id="R308ca82be5e74dfc">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216641688a8e41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523334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9cc9afc2084d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6641688a8e4174" /><Relationship Type="http://schemas.openxmlformats.org/officeDocument/2006/relationships/header" Target="/word/header1.xml" Id="R313bae8b606e49e8" /><Relationship Type="http://schemas.openxmlformats.org/officeDocument/2006/relationships/settings" Target="/word/settings.xml" Id="Rb5348148674b42c9" /><Relationship Type="http://schemas.openxmlformats.org/officeDocument/2006/relationships/styles" Target="/word/styles.xml" Id="Rc255395594b146b4" /><Relationship Type="http://schemas.openxmlformats.org/officeDocument/2006/relationships/hyperlink" Target="https://meteor.aihw.gov.au/RegistrationAuthority/6" TargetMode="External" Id="R990cfb9e90914894" /><Relationship Type="http://schemas.openxmlformats.org/officeDocument/2006/relationships/numbering" Target="/word/numbering.xml" Id="R1334e8583db74367" /><Relationship Type="http://schemas.openxmlformats.org/officeDocument/2006/relationships/hyperlink" Target="https://meteor.aihw.gov.au/content/480516" TargetMode="External" Id="R87efe9f08189424e" /><Relationship Type="http://schemas.openxmlformats.org/officeDocument/2006/relationships/hyperlink" Target="https://meteor.aihw.gov.au/RegistrationAuthority/6" TargetMode="External" Id="R65372f83a8334c71" /><Relationship Type="http://schemas.openxmlformats.org/officeDocument/2006/relationships/hyperlink" Target="https://meteor.aihw.gov.au/content/567202" TargetMode="External" Id="R6d63d1f7615e4359" /><Relationship Type="http://schemas.openxmlformats.org/officeDocument/2006/relationships/hyperlink" Target="https://meteor.aihw.gov.au/RegistrationAuthority/6" TargetMode="External" Id="R5ef003703d424204" /><Relationship Type="http://schemas.openxmlformats.org/officeDocument/2006/relationships/hyperlink" Target="https://meteor.aihw.gov.au/content/484317" TargetMode="External" Id="R1a22064b5e0348f3" /><Relationship Type="http://schemas.openxmlformats.org/officeDocument/2006/relationships/hyperlink" Target="https://meteor.aihw.gov.au/RegistrationAuthority/6" TargetMode="External" Id="R308ca82be5e74dfc" /></Relationships>
</file>

<file path=word/_rels/header1.xml.rels>&#65279;<?xml version="1.0" encoding="utf-8"?><Relationships xmlns="http://schemas.openxmlformats.org/package/2006/relationships"><Relationship Type="http://schemas.openxmlformats.org/officeDocument/2006/relationships/image" Target="/media/image.png" Id="R9c9cc9afc2084d36" /></Relationships>
</file>