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ae0e940614cc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2013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2013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1e1fccd414174">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are available in a variety</w:t>
            </w:r>
            <w:r>
              <w:br/>
            </w:r>
            <w:r>
              <w:rPr>
                <w:rStyle w:val="row-content-rich-text"/>
              </w:rPr>
              <w:t xml:space="preserve">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w:t>
            </w:r>
            <w:r>
              <w:br/>
            </w:r>
            <w:r>
              <w:rPr>
                <w:rStyle w:val="row-content-rich-text"/>
              </w:rPr>
              <w:t xml:space="preserve">Age-standardised results provide a measure of relative difference only between populations.</w:t>
            </w:r>
            <w:r>
              <w:br/>
            </w: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(ABS cat. no.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w:t>
            </w:r>
            <w:r>
              <w:br/>
            </w:r>
            <w:r>
              <w:rPr>
                <w:rStyle w:val="row-content-rich-text"/>
              </w:rPr>
              <w:t xml:space="preserve">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and Deaths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w:t>
            </w:r>
            <w:r>
              <w:br/>
            </w:r>
            <w:r>
              <w:rPr>
                <w:rStyle w:val="row-content-rich-text"/>
              </w:rPr>
              <w:t xml:space="preserve">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w:t>
            </w:r>
            <w:r>
              <w:br/>
            </w:r>
            <w:r>
              <w:rPr>
                <w:rStyle w:val="row-content-rich-text"/>
              </w:rPr>
              <w:t xml:space="preserve">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w:t>
            </w:r>
            <w:r>
              <w:br/>
            </w:r>
            <w:r>
              <w:rPr>
                <w:rStyle w:val="row-content-rich-text"/>
              </w:rPr>
              <w:t xml:space="preserve">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(ABS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cat. no, 3302.0) and Explanatory Note 103 in the </w:t>
            </w:r>
            <w:r>
              <w:rPr>
                <w:rStyle w:val="row-content-rich-text"/>
                <w:i/>
              </w:rPr>
              <w:t xml:space="preserve">Causes of Death, Australia, 2010</w:t>
            </w:r>
            <w:r>
              <w:rPr>
                <w:rStyle w:val="row-content-rich-text"/>
              </w:rPr>
              <w:t xml:space="preserve"> publication (ABS cat. no. 3303.0).</w:t>
            </w:r>
          </w:p>
          <w:p>
            <w:pPr>
              <w:spacing w:after="160"/>
            </w:pPr>
            <w:r>
              <w:rPr>
                <w:rStyle w:val="row-content-rich-text"/>
              </w:rPr>
              <w:t xml:space="preserve">An investigation conducted by the WA Registrar of Births, Deaths and Marriages indicated that some deaths of non-Indigenous people were wrongly recorded as deaths of Indigenous people in WA for 2007, 2008 and 2009. The ABS discussed this issue with a range of key stakeholders</w:t>
            </w:r>
            <w:r>
              <w:br/>
            </w:r>
            <w:r>
              <w:rPr>
                <w:rStyle w:val="row-content-rich-text"/>
              </w:rPr>
              <w:t xml:space="preserve">and users of Aboriginal and Torres Strait Islander deaths statistics. Following this discussion, the ABS did not release WA Aboriginal and Torres Strait Islander deaths data for the years 2007, 2008 and 2009 in the 2010 issue of the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the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in </w:t>
            </w:r>
            <w:r>
              <w:rPr>
                <w:rStyle w:val="row-content-rich-text"/>
                <w:i/>
              </w:rPr>
              <w:t xml:space="preserve">Causes of Death, Australia, 2009</w:t>
            </w:r>
            <w:r>
              <w:rPr>
                <w:rStyle w:val="row-content-rich-text"/>
              </w:rPr>
              <w:t xml:space="preserve"> (ABS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(ABS cat. no. 3114.0) and </w:t>
            </w:r>
            <w:r>
              <w:rPr>
                <w:rStyle w:val="row-content-rich-text"/>
                <w:i/>
              </w:rPr>
              <w:t xml:space="preserve">Australian Demographic Statistics</w:t>
            </w:r>
            <w:r>
              <w:rPr>
                <w:rStyle w:val="row-content-rich-text"/>
              </w:rPr>
              <w:t xml:space="preserve"> (ABS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w:t>
            </w:r>
            <w:r>
              <w:br/>
            </w:r>
            <w:r>
              <w:rPr>
                <w:rStyle w:val="row-content-rich-text"/>
              </w:rPr>
              <w:t xml:space="preserve">series increases. Non-Indigenous data from the Deaths and Causes of Death collection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458da0d00b476c">
              <w:r>
                <w:rPr>
                  <w:rStyle w:val="Hyperlink"/>
                </w:rPr>
                <w:t xml:space="preserve">National Indigenous Reform Agreement: PI 02-Mortality rate (and excess deaths) by leading causes, 2012 QS</w:t>
              </w:r>
            </w:hyperlink>
          </w:p>
          <w:p>
            <w:pPr>
              <w:pStyle w:val="registration-status"/>
              <w:spacing w:before="0" w:after="0"/>
            </w:pPr>
            <w:hyperlink w:history="true" r:id="R3b03c8f6c4df4dba">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10a02418b6c44c5a">
              <w:r>
                <w:rPr>
                  <w:rStyle w:val="Hyperlink"/>
                </w:rPr>
                <w:t xml:space="preserve">National Indigenous Reform Agreement: PI 02-Mortality rate by leading causes, 2014 QS</w:t>
              </w:r>
            </w:hyperlink>
          </w:p>
          <w:p>
            <w:pPr>
              <w:pStyle w:val="registration-status"/>
              <w:spacing w:before="0" w:after="0"/>
            </w:pPr>
            <w:hyperlink w:history="true" r:id="R2d27932ed0e64b3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45bc6426c7343ef">
              <w:r>
                <w:rPr>
                  <w:rStyle w:val="Hyperlink"/>
                </w:rPr>
                <w:t xml:space="preserve">National Indigenous Reform Agreement: PI 02-Mortality rate by leading causes, 2013</w:t>
              </w:r>
            </w:hyperlink>
          </w:p>
          <w:p>
            <w:pPr>
              <w:pStyle w:val="registration-status"/>
              <w:spacing w:before="0" w:after="0"/>
            </w:pPr>
            <w:hyperlink w:history="true" r:id="Rb51a782931124cbb">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67deb0325d77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6e97fc305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eb0325d774527" /><Relationship Type="http://schemas.openxmlformats.org/officeDocument/2006/relationships/header" Target="/word/header1.xml" Id="Rac7e07f80e404fad" /><Relationship Type="http://schemas.openxmlformats.org/officeDocument/2006/relationships/settings" Target="/word/settings.xml" Id="R7683bc0b265246c0" /><Relationship Type="http://schemas.openxmlformats.org/officeDocument/2006/relationships/styles" Target="/word/styles.xml" Id="Rac1653ccf6f44b26" /><Relationship Type="http://schemas.openxmlformats.org/officeDocument/2006/relationships/hyperlink" Target="https://meteor.aihw.gov.au/RegistrationAuthority/6" TargetMode="External" Id="Rc3f1e1fccd414174" /><Relationship Type="http://schemas.openxmlformats.org/officeDocument/2006/relationships/hyperlink" Target="https://meteor.aihw.gov.au/content/480230" TargetMode="External" Id="R03458da0d00b476c" /><Relationship Type="http://schemas.openxmlformats.org/officeDocument/2006/relationships/hyperlink" Target="https://meteor.aihw.gov.au/RegistrationAuthority/6" TargetMode="External" Id="R3b03c8f6c4df4dba" /><Relationship Type="http://schemas.openxmlformats.org/officeDocument/2006/relationships/hyperlink" Target="https://meteor.aihw.gov.au/content/567126" TargetMode="External" Id="R10a02418b6c44c5a" /><Relationship Type="http://schemas.openxmlformats.org/officeDocument/2006/relationships/hyperlink" Target="https://meteor.aihw.gov.au/RegistrationAuthority/6" TargetMode="External" Id="R2d27932ed0e64b3e" /><Relationship Type="http://schemas.openxmlformats.org/officeDocument/2006/relationships/hyperlink" Target="https://meteor.aihw.gov.au/content/481149" TargetMode="External" Id="R045bc6426c7343ef" /><Relationship Type="http://schemas.openxmlformats.org/officeDocument/2006/relationships/hyperlink" Target="https://meteor.aihw.gov.au/RegistrationAuthority/6" TargetMode="External" Id="Rb51a782931124cbb" /></Relationships>
</file>

<file path=word/_rels/header1.xml.rels>&#65279;<?xml version="1.0" encoding="utf-8"?><Relationships xmlns="http://schemas.openxmlformats.org/package/2006/relationships"><Relationship Type="http://schemas.openxmlformats.org/officeDocument/2006/relationships/image" Target="/media/image.png" Id="Re2a6e97fc305459a" /></Relationships>
</file>