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4703f5bb8e4e43" /></Relationships>
</file>

<file path=word/document.xml><?xml version="1.0" encoding="utf-8"?>
<w:document xmlns:r="http://schemas.openxmlformats.org/officeDocument/2006/relationships" xmlns:w="http://schemas.openxmlformats.org/wordprocessingml/2006/main">
  <w:body>
    <w:p>
      <w:pPr>
        <w:pStyle w:val="Title"/>
      </w:pPr>
      <w:r>
        <w:t>Person—family name prefix sequence number, code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Person—family name prefix sequence number, code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Family name prefix sequence 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520826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ba96f28d9d8457e">
              <w:r>
                <w:rPr>
                  <w:rStyle w:val="Hyperlink"/>
                  <w:color w:val="244061"/>
                </w:rPr>
                <w:t xml:space="preserve">Health</w:t>
              </w:r>
            </w:hyperlink>
            <w:r>
              <w:rPr>
                <w:rStyle w:val="row-content"/>
                <w:color w:val="244061"/>
              </w:rPr>
              <w:t xml:space="preserve">, Standard 05/10/2016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numeric order of a starting component of a person's family name,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dfadc7da01447a6">
              <w:r>
                <w:rPr>
                  <w:rStyle w:val="Hyperlink"/>
                </w:rPr>
                <w:t xml:space="preserve">Person—family name prefix sequence number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aa6575a56a4472d">
              <w:r>
                <w:rPr>
                  <w:rStyle w:val="Hyperlink"/>
                </w:rPr>
                <w:t xml:space="preserve">Number sequence code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One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Two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Three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p>
        </w:tc>
        <w:tc>
          <w:tcPr>
            <w:tcBorders>
              <w:top w:val="none" w:color="000000" w:sz="0"/>
              <w:left w:val="none" w:color="000000" w:sz="0"/>
              <w:bottom w:val="none" w:color="000000" w:sz="0"/>
              <w:right w:val="none" w:color="000000" w:sz="0"/>
            </w:tcBorders>
            <w:vAlign w:val="top"/>
          </w:tcPr>
          <w:p>
            <w:r>
              <w:t xml:space="preserve">Four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w:t>
            </w:r>
          </w:p>
        </w:tc>
        <w:tc>
          <w:tcPr>
            <w:tcBorders>
              <w:top w:val="none" w:color="000000" w:sz="0"/>
              <w:left w:val="none" w:color="000000" w:sz="0"/>
              <w:bottom w:val="none" w:color="000000" w:sz="0"/>
              <w:right w:val="none" w:color="000000" w:sz="0"/>
            </w:tcBorders>
            <w:vAlign w:val="top"/>
          </w:tcPr>
          <w:p>
            <w:r>
              <w:t xml:space="preserve">Five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w:t>
            </w:r>
          </w:p>
        </w:tc>
        <w:tc>
          <w:tcPr>
            <w:tcBorders>
              <w:top w:val="none" w:color="000000" w:sz="0"/>
              <w:left w:val="none" w:color="000000" w:sz="0"/>
              <w:bottom w:val="none" w:color="000000" w:sz="0"/>
              <w:right w:val="none" w:color="000000" w:sz="0"/>
            </w:tcBorders>
            <w:vAlign w:val="top"/>
          </w:tcPr>
          <w:p>
            <w:r>
              <w:t xml:space="preserve">Six</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Seven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Eight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p>
        </w:tc>
        <w:tc>
          <w:tcPr>
            <w:tcBorders>
              <w:top w:val="none" w:color="000000" w:sz="0"/>
              <w:left w:val="none" w:color="000000" w:sz="0"/>
              <w:bottom w:val="none" w:color="000000" w:sz="0"/>
              <w:right w:val="none" w:color="000000" w:sz="0"/>
            </w:tcBorders>
            <w:vAlign w:val="top"/>
          </w:tcPr>
          <w:p>
            <w:r>
              <w:t xml:space="preserve">Nine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w:t>
            </w:r>
            <w:r>
              <w:br/>
            </w:r>
            <w:r>
              <w:t xml:space="preserve"> </w:t>
            </w:r>
          </w:p>
        </w:tc>
        <w:tc>
          <w:tcPr>
            <w:tcBorders>
              <w:top w:val="none" w:color="000000" w:sz="0"/>
              <w:left w:val="none" w:color="000000" w:sz="0"/>
              <w:bottom w:val="none" w:color="000000" w:sz="0"/>
              <w:right w:val="none" w:color="000000" w:sz="0"/>
            </w:tcBorders>
            <w:vAlign w:val="top"/>
          </w:tcPr>
          <w:p>
            <w:r>
              <w:t xml:space="preserve">Ten</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2014. AS 4846:2014 Person and provider identification in healthcare. Sydney: Standards Australia.</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One</w:t>
            </w:r>
          </w:p>
          <w:p>
            <w:pPr>
              <w:spacing w:after="160"/>
            </w:pPr>
            <w:r>
              <w:rPr>
                <w:rStyle w:val="row-content-rich-text"/>
              </w:rPr>
              <w:t xml:space="preserve">Refers to first family name prefix</w:t>
            </w:r>
          </w:p>
          <w:p>
            <w:pPr>
              <w:spacing w:after="160"/>
            </w:pPr>
            <w:r>
              <w:rPr>
                <w:rStyle w:val="row-content-rich-text"/>
              </w:rPr>
              <w:t xml:space="preserve">CODE 2   Two</w:t>
            </w:r>
          </w:p>
          <w:p>
            <w:pPr>
              <w:spacing w:after="160"/>
            </w:pPr>
            <w:r>
              <w:rPr>
                <w:rStyle w:val="row-content-rich-text"/>
              </w:rPr>
              <w:t xml:space="preserve">Refers to second family name prefix</w:t>
            </w:r>
          </w:p>
          <w:p>
            <w:pPr>
              <w:spacing w:after="160"/>
            </w:pPr>
            <w:r>
              <w:rPr>
                <w:rStyle w:val="row-content-rich-text"/>
              </w:rPr>
              <w:t xml:space="preserve">CODE 3   Three</w:t>
            </w:r>
          </w:p>
          <w:p>
            <w:pPr>
              <w:spacing w:after="160"/>
            </w:pPr>
            <w:r>
              <w:rPr>
                <w:rStyle w:val="row-content-rich-text"/>
              </w:rPr>
              <w:t xml:space="preserve">Refers to third family name prefix</w:t>
            </w:r>
          </w:p>
          <w:p>
            <w:pPr>
              <w:spacing w:after="160"/>
            </w:pPr>
            <w:r>
              <w:rPr>
                <w:rStyle w:val="row-content-rich-text"/>
              </w:rPr>
              <w:t xml:space="preserve">CODE 4   Four</w:t>
            </w:r>
          </w:p>
          <w:p>
            <w:pPr>
              <w:spacing w:after="160"/>
            </w:pPr>
            <w:r>
              <w:rPr>
                <w:rStyle w:val="row-content-rich-text"/>
              </w:rPr>
              <w:t xml:space="preserve">Refers to fourth family name prefix</w:t>
            </w:r>
          </w:p>
          <w:p>
            <w:pPr>
              <w:spacing w:after="160"/>
            </w:pPr>
            <w:r>
              <w:rPr>
                <w:rStyle w:val="row-content-rich-text"/>
              </w:rPr>
              <w:t xml:space="preserve">CODE 5   Five</w:t>
            </w:r>
          </w:p>
          <w:p>
            <w:pPr>
              <w:spacing w:after="160"/>
            </w:pPr>
            <w:r>
              <w:rPr>
                <w:rStyle w:val="row-content-rich-text"/>
              </w:rPr>
              <w:t xml:space="preserve">Refers to fifth family name prefix</w:t>
            </w:r>
          </w:p>
          <w:p>
            <w:pPr>
              <w:spacing w:after="160"/>
            </w:pPr>
            <w:r>
              <w:rPr>
                <w:rStyle w:val="row-content-rich-text"/>
              </w:rPr>
              <w:t xml:space="preserve">CODE 6   Six</w:t>
            </w:r>
          </w:p>
          <w:p>
            <w:pPr>
              <w:spacing w:after="160"/>
            </w:pPr>
            <w:r>
              <w:rPr>
                <w:rStyle w:val="row-content-rich-text"/>
              </w:rPr>
              <w:t xml:space="preserve">Refers to sixth family name prefix</w:t>
            </w:r>
          </w:p>
          <w:p>
            <w:pPr>
              <w:spacing w:after="160"/>
            </w:pPr>
            <w:r>
              <w:rPr>
                <w:rStyle w:val="row-content-rich-text"/>
              </w:rPr>
              <w:t xml:space="preserve">CODE 7   Seven</w:t>
            </w:r>
          </w:p>
          <w:p>
            <w:pPr>
              <w:spacing w:after="160"/>
            </w:pPr>
            <w:r>
              <w:rPr>
                <w:rStyle w:val="row-content-rich-text"/>
              </w:rPr>
              <w:t xml:space="preserve">Refers to seventh family name prefix</w:t>
            </w:r>
          </w:p>
          <w:p>
            <w:pPr>
              <w:spacing w:after="160"/>
            </w:pPr>
            <w:r>
              <w:rPr>
                <w:rStyle w:val="row-content-rich-text"/>
              </w:rPr>
              <w:t xml:space="preserve">CODE 8   Eight</w:t>
            </w:r>
          </w:p>
          <w:p>
            <w:pPr>
              <w:spacing w:after="160"/>
            </w:pPr>
            <w:r>
              <w:rPr>
                <w:rStyle w:val="row-content-rich-text"/>
              </w:rPr>
              <w:t xml:space="preserve">Refers to eighth family name prefix</w:t>
            </w:r>
          </w:p>
          <w:p>
            <w:pPr>
              <w:spacing w:after="160"/>
            </w:pPr>
            <w:r>
              <w:rPr>
                <w:rStyle w:val="row-content-rich-text"/>
              </w:rPr>
              <w:t xml:space="preserve">CODE 9   Nine</w:t>
            </w:r>
          </w:p>
          <w:p>
            <w:pPr>
              <w:spacing w:after="160"/>
            </w:pPr>
            <w:r>
              <w:rPr>
                <w:rStyle w:val="row-content-rich-text"/>
              </w:rPr>
              <w:t xml:space="preserve">Refers to ninth family name prefix</w:t>
            </w:r>
          </w:p>
          <w:p>
            <w:pPr>
              <w:spacing w:after="160"/>
            </w:pPr>
            <w:r>
              <w:rPr>
                <w:rStyle w:val="row-content-rich-text"/>
              </w:rPr>
              <w:t xml:space="preserve">CODE 10 Ten</w:t>
            </w:r>
          </w:p>
          <w:p>
            <w:pPr/>
            <w:r>
              <w:rPr>
                <w:rStyle w:val="row-content-rich-text"/>
              </w:rPr>
              <w:t xml:space="preserve">Refers to tenth and subsequent family name prefix</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2014. AS 4846:2014 Person and provider identification in healthcare.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76a018c3bef54d82">
              <w:r>
                <w:rPr>
                  <w:rStyle w:val="Hyperlink"/>
                </w:rPr>
                <w:t xml:space="preserve">Person—family name prefix, text A[A(29)]</w:t>
              </w:r>
            </w:hyperlink>
          </w:p>
          <w:p>
            <w:pPr>
              <w:pStyle w:val="registration-status"/>
              <w:spacing w:before="0" w:after="0"/>
            </w:pPr>
            <w:hyperlink w:history="true" r:id="Rd36329d65d054792">
              <w:r>
                <w:rPr>
                  <w:rStyle w:val="Hyperlink"/>
                  <w:color w:val="244061"/>
                </w:rPr>
                <w:t xml:space="preserve">Health</w:t>
              </w:r>
            </w:hyperlink>
            <w:r>
              <w:rPr>
                <w:rStyle w:val="row-content"/>
                <w:color w:val="244061"/>
              </w:rPr>
              <w:t xml:space="preserve">, Standard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2805448bf01040a8">
              <w:r>
                <w:rPr>
                  <w:rStyle w:val="Hyperlink"/>
                </w:rPr>
                <w:t xml:space="preserve">Individual name cluster</w:t>
              </w:r>
            </w:hyperlink>
          </w:p>
          <w:p>
            <w:pPr>
              <w:pStyle w:val="registration-status"/>
              <w:spacing w:before="0" w:after="0"/>
            </w:pPr>
            <w:hyperlink w:history="true" r:id="Rf04dc463ab084a5d">
              <w:r>
                <w:rPr>
                  <w:rStyle w:val="Hyperlink"/>
                  <w:color w:val="244061"/>
                </w:rPr>
                <w:t xml:space="preserve">Health</w:t>
              </w:r>
            </w:hyperlink>
            <w:r>
              <w:rPr>
                <w:rStyle w:val="row-content"/>
                <w:color w:val="244061"/>
              </w:rPr>
              <w:t xml:space="preserve">, Standard 05/10/2016</w:t>
            </w:r>
          </w:p>
          <w:p>
            <w:r>
              <w:rPr>
                <w:rStyle w:val="row-content"/>
                <w:b/>
                <w:i/>
              </w:rPr>
              <w:t xml:space="preserve">Conditional obligation: </w:t>
            </w:r>
          </w:p>
          <w:p>
            <w:r>
              <w:rPr>
                <w:rStyle w:val="row-content"/>
              </w:rPr>
              <w:t xml:space="preserve">Conditional upon </w:t>
            </w:r>
            <w:hyperlink w:history="true" r:id="R1677400ae3474d2f">
              <w:r>
                <w:rPr>
                  <w:rStyle w:val="Hyperlink"/>
                </w:rPr>
                <w:t xml:space="preserve">Person—family name prefix, text A[A(29)]</w:t>
              </w:r>
            </w:hyperlink>
            <w:r>
              <w:rPr>
                <w:rStyle w:val="row-content"/>
              </w:rPr>
              <w:t xml:space="preserve"> being recorded.</w:t>
            </w:r>
          </w:p>
          <w:p>
            <w:r>
              <w:br/>
            </w:r>
            <w:r>
              <w:br/>
            </w:r>
          </w:p>
        </w:tc>
      </w:tr>
    </w:tbl>
    <w:p/>
    <w:tbl>
      <w:tblPr>
        <w:tblStyle w:val="TableGrid"/>
        <w:tblW w:w="0" w:type="auto"/>
      </w:tblPr>
    </w:tbl>
    <w:p>
      <w:r>
        <w:br/>
      </w:r>
    </w:p>
    <w:sectPr>
      <w:footerReference xmlns:r="http://schemas.openxmlformats.org/officeDocument/2006/relationships" w:type="default" r:id="Rb55d04a3cd0a4b9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520826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371cd6ee3d1436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55d04a3cd0a4b9a" /><Relationship Type="http://schemas.openxmlformats.org/officeDocument/2006/relationships/header" Target="/word/header1.xml" Id="Rb848f8a9c3144f03" /><Relationship Type="http://schemas.openxmlformats.org/officeDocument/2006/relationships/settings" Target="/word/settings.xml" Id="Re7afcf46beaf417a" /><Relationship Type="http://schemas.openxmlformats.org/officeDocument/2006/relationships/styles" Target="/word/styles.xml" Id="R3d134d514b1043eb" /><Relationship Type="http://schemas.openxmlformats.org/officeDocument/2006/relationships/hyperlink" Target="https://meteor.aihw.gov.au/RegistrationAuthority/12" TargetMode="External" Id="Rcba96f28d9d8457e" /><Relationship Type="http://schemas.openxmlformats.org/officeDocument/2006/relationships/hyperlink" Target="https://meteor.aihw.gov.au/content/520800" TargetMode="External" Id="R2dfadc7da01447a6" /><Relationship Type="http://schemas.openxmlformats.org/officeDocument/2006/relationships/hyperlink" Target="https://meteor.aihw.gov.au/content/614859" TargetMode="External" Id="R1aa6575a56a4472d" /><Relationship Type="http://schemas.openxmlformats.org/officeDocument/2006/relationships/hyperlink" Target="https://meteor.aihw.gov.au/content/520790" TargetMode="External" Id="R76a018c3bef54d82" /><Relationship Type="http://schemas.openxmlformats.org/officeDocument/2006/relationships/hyperlink" Target="https://meteor.aihw.gov.au/RegistrationAuthority/12" TargetMode="External" Id="Rd36329d65d054792" /><Relationship Type="http://schemas.openxmlformats.org/officeDocument/2006/relationships/hyperlink" Target="https://meteor.aihw.gov.au/content/528153" TargetMode="External" Id="R2805448bf01040a8" /><Relationship Type="http://schemas.openxmlformats.org/officeDocument/2006/relationships/hyperlink" Target="https://meteor.aihw.gov.au/RegistrationAuthority/12" TargetMode="External" Id="Rf04dc463ab084a5d" /><Relationship Type="http://schemas.openxmlformats.org/officeDocument/2006/relationships/hyperlink" Target="https://meteor.aihw.gov.au/content/520790" TargetMode="External" Id="R1677400ae3474d2f" /></Relationships>
</file>

<file path=word/_rels/header1.xml.rels>&#65279;<?xml version="1.0" encoding="utf-8"?><Relationships xmlns="http://schemas.openxmlformats.org/package/2006/relationships"><Relationship Type="http://schemas.openxmlformats.org/officeDocument/2006/relationships/image" Target="/media/image.png" Id="R1371cd6ee3d1436e" /></Relationships>
</file>