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80d52cb1b745f9" /></Relationships>
</file>

<file path=word/document.xml><?xml version="1.0" encoding="utf-8"?>
<w:document xmlns:r="http://schemas.openxmlformats.org/officeDocument/2006/relationships" xmlns:w="http://schemas.openxmlformats.org/wordprocessingml/2006/main">
  <w:body>
    <w:p>
      <w:pPr>
        <w:pStyle w:val="Title"/>
      </w:pPr>
      <w:r>
        <w:t>National Dental Telephone Interview Survey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Dental Telephone Interview Survey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ef917e9394f9f">
              <w:r>
                <w:rPr>
                  <w:rStyle w:val="Hyperlink"/>
                  <w:color w:val="244061"/>
                </w:rPr>
                <w:t xml:space="preserve">AIHW Data Quality Statements</w:t>
              </w:r>
            </w:hyperlink>
            <w:r>
              <w:rPr>
                <w:rStyle w:val="row-content"/>
                <w:color w:val="244061"/>
              </w:rPr>
              <w:t xml:space="preserve">, Standard 30/05/2013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Dental Telephone Interview Survey (NDTIS) is a random sample survey that collects information on the dental health and use of dental services of Australians in all states and territories. The survey includes Australians aged 2 years and over.</w:t>
            </w:r>
          </w:p>
          <w:p>
            <w:pPr>
              <w:pStyle w:val="ListParagraph"/>
              <w:numPr>
                <w:ilvl w:val="0"/>
                <w:numId w:val="2"/>
              </w:numPr>
            </w:pPr>
            <w:r>
              <w:rPr>
                <w:rStyle w:val="row-content-rich-text"/>
              </w:rPr>
              <w:t xml:space="preserve">The NDTIS is a source of nationally representative population data on dental health and use of dental services in Australia.</w:t>
            </w:r>
          </w:p>
          <w:p>
            <w:pPr>
              <w:pStyle w:val="ListParagraph"/>
              <w:numPr>
                <w:ilvl w:val="0"/>
                <w:numId w:val="2"/>
              </w:numPr>
            </w:pPr>
            <w:r>
              <w:rPr>
                <w:rStyle w:val="row-content-rich-text"/>
              </w:rPr>
              <w:t xml:space="preserve">NDTIS is a sample based survey using telephone interview methodology.</w:t>
            </w:r>
          </w:p>
          <w:p>
            <w:pPr>
              <w:pStyle w:val="ListParagraph"/>
              <w:numPr>
                <w:ilvl w:val="0"/>
                <w:numId w:val="2"/>
              </w:numPr>
            </w:pPr>
            <w:r>
              <w:rPr>
                <w:rStyle w:val="row-content-rich-text"/>
              </w:rPr>
              <w:t xml:space="preserve">Children aged 2–4 years were excluded from service usage rates for some services.</w:t>
            </w:r>
          </w:p>
          <w:p>
            <w:pPr>
              <w:pStyle w:val="ListParagraph"/>
              <w:numPr>
                <w:ilvl w:val="0"/>
                <w:numId w:val="2"/>
              </w:numPr>
            </w:pPr>
            <w:r>
              <w:rPr>
                <w:rStyle w:val="row-content-rich-text"/>
              </w:rPr>
              <w:t xml:space="preserve">Persons with no natural teeth were excluded from service usage rates.</w:t>
            </w:r>
          </w:p>
          <w:p>
            <w:pPr>
              <w:pStyle w:val="ListParagraph"/>
              <w:numPr>
                <w:ilvl w:val="0"/>
                <w:numId w:val="2"/>
              </w:numPr>
            </w:pPr>
            <w:r>
              <w:rPr>
                <w:rStyle w:val="row-content-rich-text"/>
              </w:rPr>
              <w:t xml:space="preserve">As with all survey data, these data are subject to sampling error and non-response bias.</w:t>
            </w:r>
          </w:p>
          <w:p>
            <w:pPr>
              <w:pStyle w:val="ListParagraph"/>
              <w:numPr>
                <w:ilvl w:val="0"/>
                <w:numId w:val="2"/>
              </w:numPr>
            </w:pPr>
            <w:r>
              <w:rPr>
                <w:rStyle w:val="row-content-rich-text"/>
              </w:rPr>
              <w:t xml:space="preserve">NDTIS consists of several modules covering specific aspects of oral health status, social and demographic information, and dental visiting behaviours. In 2010 modules were added to capture data for young children (2–4 years) and the use of Teen Dental Plan vouchers.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448fb8fea8c44b9">
              <w:r>
                <w:rPr>
                  <w:rStyle w:val="Hyperlink"/>
                </w:rPr>
                <w:t xml:space="preserve">www.aihw.gov.au</w:t>
              </w:r>
            </w:hyperlink>
            <w:r>
              <w:rPr>
                <w:rStyle w:val="row-content-rich-text"/>
              </w:rPr>
              <w:t xml:space="preserve">.</w:t>
            </w:r>
          </w:p>
          <w:p>
            <w:pPr/>
            <w:r>
              <w:rPr>
                <w:rStyle w:val="row-content-rich-text"/>
              </w:rPr>
              <w:t xml:space="preserve">The NDTIS is conducted on behalf of AIHW by the Dental Statistics and Research Unit (DSRU) located at the University of Adelaide, a collaborating unit of the AIHW. In this capacity the DSRU is subject to the provisions of the AIHW Act and the Privacy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NDTIS 2010 was conducted between July 2010 and February 2011. The reference period was July 2009 to February 2011. Data from this collection were first published in December 2011 as an online publication (AIHW 2011. Oral health and dental care in Australia: key facts and figures 2011. Cat. no. DEN 214. Canberra: AIHW, available at </w:t>
            </w:r>
          </w:p>
          <w:p>
            <w:hyperlink w:history="true" r:id="R53437b981e834c00">
              <w:r>
                <w:rPr>
                  <w:rStyle w:val="Hyperlink"/>
                </w:rPr>
                <w:t xml:space="preserve">http://www.aihw.gov.au/publication-detail/?id=10737420710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e8ff442ff4184f15">
              <w:r>
                <w:rPr>
                  <w:rStyle w:val="Hyperlink"/>
                </w:rPr>
                <w:t xml:space="preserve">http://www.arcpoh.adelaide.edu.au/publications/report/statistics/</w:t>
              </w:r>
            </w:hyperlink>
            <w:r>
              <w:br/>
            </w:r>
            <w:r>
              <w:rPr>
                <w:rStyle w:val="row-content-rich-text"/>
              </w:rPr>
              <w:t xml:space="preserve">Or from AIHW:</w:t>
            </w:r>
            <w:r>
              <w:br/>
            </w:r>
            <w:hyperlink w:history="true" r:id="Rf0d3595b2d934b11">
              <w:r>
                <w:rPr>
                  <w:rStyle w:val="Hyperlink"/>
                </w:rPr>
                <w:t xml:space="preserve">http://www.aihw.gov.au/dental-and-oral-health/</w:t>
              </w:r>
            </w:hyperlink>
            <w:r>
              <w:br/>
            </w:r>
            <w:r>
              <w:rPr>
                <w:rStyle w:val="row-content-rich-text"/>
              </w:rPr>
              <w:t xml:space="preserve">Customised tables are available on request (on a fee for service basis). Queries should be directed to </w:t>
            </w:r>
          </w:p>
          <w:p>
            <w:hyperlink w:history="true" r:id="Ra3fb1c69295540d0">
              <w:r>
                <w:rPr>
                  <w:rStyle w:val="Hyperlink"/>
                </w:rPr>
                <w:t xml:space="preserve">dsru@adelaide.edu.au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NDTIS consists of several modules: dentate status, perceived need, access to services, rural access, treatment in the last 12 months, cardholder/waiting time, visiting behaviour, social impact, financial impact, dental insurance, chronic disease, societal impact, sociodemographics, edentulous. In 2010 the following modules were included: young child (2–4 years), Use of Teen Dental Plan vouchers.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(i.e. check ups and consultations for problems not classified as emergencies).</w:t>
            </w:r>
          </w:p>
          <w:p>
            <w:pPr>
              <w:spacing w:after="160"/>
            </w:pPr>
            <w:r>
              <w:rPr>
                <w:rStyle w:val="row-content-rich-text"/>
              </w:rPr>
              <w:t xml:space="preserve">The survey data are limited to people aged 2 years and over, whose telephone number was listed in the electronic White Pages. Information about oral health services provided to edentulous persons (i.e. people with no remaining natural teeth) is not included. As NDTIS does not specifically identify dental services provided through hospitals, or services provided for orthodontic reasons, it was not possible to exclude these services from usage rates.</w:t>
            </w:r>
          </w:p>
          <w:p>
            <w:pPr>
              <w:spacing w:after="160"/>
            </w:pPr>
            <w:r>
              <w:rPr>
                <w:rStyle w:val="row-content-rich-text"/>
              </w:rPr>
              <w:t xml:space="preserve">The target sample size for the 2010 NDTIS was 6,600 adults aged 18 years or older, 400 children aged 2–4 years and 3,000 children aged 5–17 years. The number of survey participants after data editing was completed is provided in Table 1.</w:t>
            </w:r>
            <w:r>
              <w:br/>
            </w: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3450" w:type="pct"/>
                  <w:vAlign w:val="top"/>
                </w:tcPr>
                <w:p>
                  <w:pPr/>
                  <w:r>
                    <w:rPr>
                      <w:rStyle w:val="row-content-rich-text"/>
                      <w:b/>
                    </w:rPr>
                    <w:t xml:space="preserve">Age group</w:t>
                  </w:r>
                </w:p>
              </w:tc>
              <w:tc>
                <w:tcPr>
                  <w:tcW w:w="1500" w:type="pct"/>
                  <w:vAlign w:val="top"/>
                </w:tcPr>
                <w:p>
                  <w:r>
                    <w:rPr>
                      <w:b/>
                    </w:rPr>
                    <w:t xml:space="preserve">Sample size</w:t>
                  </w:r>
                </w:p>
              </w:tc>
            </w:tr>
            <w:tr>
              <w:trPr/>
              <w:tc>
                <w:tcPr>
                  <w:tcW w:w="3450" w:type="pct"/>
                  <w:vAlign w:val="top"/>
                </w:tcPr>
                <w:p>
                  <w:r>
                    <w:t xml:space="preserve">2–4 year olds</w:t>
                  </w:r>
                </w:p>
              </w:tc>
              <w:tc>
                <w:tcPr>
                  <w:tcW w:w="1500" w:type="pct"/>
                  <w:vAlign w:val="top"/>
                </w:tcPr>
                <w:p>
                  <w:r>
                    <w:t xml:space="preserve">418</w:t>
                  </w:r>
                </w:p>
              </w:tc>
            </w:tr>
            <w:tr>
              <w:trPr/>
              <w:tc>
                <w:tcPr>
                  <w:tcW w:w="3450" w:type="pct"/>
                  <w:vAlign w:val="top"/>
                </w:tcPr>
                <w:p>
                  <w:r>
                    <w:t xml:space="preserve">5–17 year olds</w:t>
                  </w:r>
                </w:p>
              </w:tc>
              <w:tc>
                <w:tcPr>
                  <w:tcW w:w="1500" w:type="pct"/>
                  <w:vAlign w:val="top"/>
                </w:tcPr>
                <w:p>
                  <w:r>
                    <w:t xml:space="preserve">3,054</w:t>
                  </w:r>
                </w:p>
              </w:tc>
            </w:tr>
            <w:tr>
              <w:trPr/>
              <w:tc>
                <w:tcPr>
                  <w:tcW w:w="3450" w:type="pct"/>
                  <w:vAlign w:val="top"/>
                </w:tcPr>
                <w:p>
                  <w:r>
                    <w:t xml:space="preserve">18–24 year olds</w:t>
                  </w:r>
                </w:p>
              </w:tc>
              <w:tc>
                <w:tcPr>
                  <w:tcW w:w="1500" w:type="pct"/>
                  <w:vAlign w:val="top"/>
                </w:tcPr>
                <w:p>
                  <w:r>
                    <w:t xml:space="preserve">649</w:t>
                  </w:r>
                </w:p>
              </w:tc>
            </w:tr>
            <w:tr>
              <w:trPr/>
              <w:tc>
                <w:tcPr>
                  <w:tcW w:w="3450" w:type="pct"/>
                  <w:vAlign w:val="top"/>
                </w:tcPr>
                <w:p>
                  <w:r>
                    <w:t xml:space="preserve">25–44 year olds</w:t>
                  </w:r>
                </w:p>
              </w:tc>
              <w:tc>
                <w:tcPr>
                  <w:tcW w:w="1500" w:type="pct"/>
                  <w:vAlign w:val="top"/>
                </w:tcPr>
                <w:p>
                  <w:r>
                    <w:t xml:space="preserve">2,104</w:t>
                  </w:r>
                </w:p>
              </w:tc>
            </w:tr>
            <w:tr>
              <w:trPr/>
              <w:tc>
                <w:tcPr>
                  <w:tcW w:w="3450" w:type="pct"/>
                  <w:vAlign w:val="top"/>
                </w:tcPr>
                <w:p>
                  <w:r>
                    <w:t xml:space="preserve">45–64 year olds</w:t>
                  </w:r>
                </w:p>
              </w:tc>
              <w:tc>
                <w:tcPr>
                  <w:tcW w:w="1500" w:type="pct"/>
                  <w:vAlign w:val="top"/>
                </w:tcPr>
                <w:p>
                  <w:r>
                    <w:t xml:space="preserve">2,908</w:t>
                  </w:r>
                </w:p>
              </w:tc>
            </w:tr>
            <w:tr>
              <w:trPr/>
              <w:tc>
                <w:tcPr>
                  <w:tcW w:w="3450" w:type="pct"/>
                  <w:vAlign w:val="top"/>
                </w:tcPr>
                <w:p>
                  <w:r>
                    <w:t xml:space="preserve">65+ year olds</w:t>
                  </w:r>
                </w:p>
              </w:tc>
              <w:tc>
                <w:tcPr>
                  <w:tcW w:w="1500" w:type="pct"/>
                  <w:vAlign w:val="top"/>
                </w:tcPr>
                <w:p>
                  <w:r>
                    <w:t xml:space="preserve">1,104</w:t>
                  </w:r>
                </w:p>
              </w:tc>
            </w:tr>
            <w:tr>
              <w:trPr/>
              <w:tc>
                <w:tcPr>
                  <w:tcW w:w="3450" w:type="pct"/>
                  <w:vAlign w:val="top"/>
                </w:tcPr>
                <w:p>
                  <w:r>
                    <w:rPr>
                      <w:b/>
                    </w:rPr>
                    <w:t xml:space="preserve">Total</w:t>
                  </w:r>
                </w:p>
              </w:tc>
              <w:tc>
                <w:tcPr>
                  <w:tcW w:w="1500" w:type="pct"/>
                  <w:vAlign w:val="top"/>
                </w:tcPr>
                <w:p>
                  <w:r>
                    <w:rPr>
                      <w:b/>
                    </w:rPr>
                    <w:t xml:space="preserve">10,237</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a random sample of Australians selected using a two-stage stratified sample design.</w:t>
            </w:r>
          </w:p>
          <w:p>
            <w:pPr>
              <w:spacing w:after="160"/>
            </w:pPr>
            <w:r>
              <w:rPr>
                <w:rStyle w:val="row-content-rich-text"/>
              </w:rPr>
              <w:t xml:space="preserve">Testing of the NDTIS questionnaire program was conducted over May and June 2010. There were three phases to the testing, which involved informal in-house testing, cognitive interviews and a pilot test. Indigenous status is recorded, however small numbers of respondents identify as Indigenous and only national estimates are made on Indigenous status.</w:t>
            </w:r>
          </w:p>
          <w:p>
            <w:pPr>
              <w:spacing w:after="160"/>
            </w:pPr>
            <w:r>
              <w:rPr>
                <w:rStyle w:val="row-content-rich-text"/>
              </w:rPr>
              <w:t xml:space="preserve">An overall participation rate of 47.8% was achieved in the 2010 survey. A total of 20,343 unique telephone numbers were called resulting in 7,869 households with one or more completed interviews. Participation rates ranged from 41.9% in Sydney through to 59.8% in non-metropolitan South Australia.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tblGrid>
            <w:tr>
              <w:trPr/>
              <w:tc>
                <w:tcPr>
                  <w:tcW w:w="1550" w:type="pct"/>
                  <w:vAlign w:val="top"/>
                </w:tcPr>
                <w:p>
                  <w:pPr/>
                  <w:r>
                    <w:rPr>
                      <w:rStyle w:val="row-content-rich-text"/>
                      <w:b/>
                    </w:rPr>
                    <w:t xml:space="preserve">Stratum</w:t>
                  </w:r>
                </w:p>
              </w:tc>
              <w:tc>
                <w:tcPr>
                  <w:tcW w:w="550" w:type="pct"/>
                  <w:vAlign w:val="top"/>
                </w:tcPr>
                <w:p>
                  <w:r>
                    <w:rPr>
                      <w:b/>
                    </w:rPr>
                    <w:t xml:space="preserve">Total sampled</w:t>
                  </w:r>
                </w:p>
              </w:tc>
              <w:tc>
                <w:tcPr>
                  <w:tcW w:w="300" w:type="pct"/>
                  <w:vAlign w:val="top"/>
                </w:tcPr>
                <w:p>
                  <w:r>
                    <w:rPr>
                      <w:b/>
                    </w:rPr>
                    <w:t xml:space="preserve">Out of scope</w:t>
                  </w:r>
                </w:p>
              </w:tc>
              <w:tc>
                <w:tcPr>
                  <w:tcW w:w="500" w:type="pct"/>
                  <w:vAlign w:val="top"/>
                </w:tcPr>
                <w:p>
                  <w:r>
                    <w:rPr>
                      <w:b/>
                    </w:rPr>
                    <w:t xml:space="preserve">Out of scope no child in household</w:t>
                  </w:r>
                </w:p>
              </w:tc>
              <w:tc>
                <w:tcPr>
                  <w:tcW w:w="350" w:type="pct"/>
                  <w:vAlign w:val="top"/>
                </w:tcPr>
                <w:p>
                  <w:r>
                    <w:rPr>
                      <w:b/>
                    </w:rPr>
                    <w:t xml:space="preserve">Non-contact</w:t>
                  </w:r>
                </w:p>
              </w:tc>
              <w:tc>
                <w:tcPr>
                  <w:tcW w:w="400" w:type="pct"/>
                  <w:vAlign w:val="top"/>
                </w:tcPr>
                <w:p>
                  <w:r>
                    <w:rPr>
                      <w:b/>
                    </w:rPr>
                    <w:t xml:space="preserve">Refusal</w:t>
                  </w:r>
                </w:p>
              </w:tc>
              <w:tc>
                <w:tcPr>
                  <w:tcW w:w="500" w:type="pct"/>
                  <w:vAlign w:val="top"/>
                </w:tcPr>
                <w:p>
                  <w:r>
                    <w:rPr>
                      <w:b/>
                    </w:rPr>
                    <w:t xml:space="preserve">Participating households</w:t>
                  </w:r>
                </w:p>
              </w:tc>
              <w:tc>
                <w:tcPr>
                  <w:tcW w:w="650" w:type="pct"/>
                  <w:vAlign w:val="top"/>
                </w:tcPr>
                <w:p>
                  <w:r>
                    <w:rPr>
                      <w:b/>
                    </w:rPr>
                    <w:t xml:space="preserve">Per cent participation</w:t>
                  </w:r>
                </w:p>
              </w:tc>
            </w:tr>
            <w:tr>
              <w:trPr/>
              <w:tc>
                <w:tcPr>
                  <w:tcW w:w="1550" w:type="pct"/>
                  <w:vAlign w:val="top"/>
                </w:tcPr>
                <w:p>
                  <w:r>
                    <w:t xml:space="preserve">Sydney</w:t>
                  </w:r>
                </w:p>
              </w:tc>
              <w:tc>
                <w:tcPr>
                  <w:tcW w:w="550" w:type="pct"/>
                  <w:vAlign w:val="top"/>
                </w:tcPr>
                <w:p>
                  <w:r>
                    <w:t xml:space="preserve">2,780</w:t>
                  </w:r>
                </w:p>
              </w:tc>
              <w:tc>
                <w:tcPr>
                  <w:tcW w:w="300" w:type="pct"/>
                  <w:vAlign w:val="top"/>
                </w:tcPr>
                <w:p>
                  <w:r>
                    <w:t xml:space="preserve">191</w:t>
                  </w:r>
                </w:p>
              </w:tc>
              <w:tc>
                <w:tcPr>
                  <w:tcW w:w="500" w:type="pct"/>
                  <w:vAlign w:val="top"/>
                </w:tcPr>
                <w:p>
                  <w:r>
                    <w:t xml:space="preserve">395</w:t>
                  </w:r>
                </w:p>
              </w:tc>
              <w:tc>
                <w:tcPr>
                  <w:tcW w:w="350" w:type="pct"/>
                  <w:vAlign w:val="top"/>
                </w:tcPr>
                <w:p>
                  <w:r>
                    <w:t xml:space="preserve">335</w:t>
                  </w:r>
                </w:p>
              </w:tc>
              <w:tc>
                <w:tcPr>
                  <w:tcW w:w="400" w:type="pct"/>
                  <w:vAlign w:val="top"/>
                </w:tcPr>
                <w:p>
                  <w:r>
                    <w:t xml:space="preserve">939</w:t>
                  </w:r>
                </w:p>
              </w:tc>
              <w:tc>
                <w:tcPr>
                  <w:tcW w:w="500" w:type="pct"/>
                  <w:vAlign w:val="top"/>
                </w:tcPr>
                <w:p>
                  <w:r>
                    <w:t xml:space="preserve">920</w:t>
                  </w:r>
                </w:p>
              </w:tc>
              <w:tc>
                <w:tcPr>
                  <w:tcW w:w="650" w:type="pct"/>
                  <w:vAlign w:val="top"/>
                </w:tcPr>
                <w:p>
                  <w:r>
                    <w:t xml:space="preserve">41.9%</w:t>
                  </w:r>
                </w:p>
              </w:tc>
            </w:tr>
            <w:tr>
              <w:trPr/>
              <w:tc>
                <w:tcPr>
                  <w:tcW w:w="1550" w:type="pct"/>
                  <w:vAlign w:val="top"/>
                </w:tcPr>
                <w:p>
                  <w:r>
                    <w:t xml:space="preserve">Balance of New South Wales</w:t>
                  </w:r>
                </w:p>
              </w:tc>
              <w:tc>
                <w:tcPr>
                  <w:tcW w:w="550" w:type="pct"/>
                  <w:vAlign w:val="top"/>
                </w:tcPr>
                <w:p>
                  <w:r>
                    <w:t xml:space="preserve">1,717</w:t>
                  </w:r>
                </w:p>
              </w:tc>
              <w:tc>
                <w:tcPr>
                  <w:tcW w:w="300" w:type="pct"/>
                  <w:vAlign w:val="top"/>
                </w:tcPr>
                <w:p>
                  <w:r>
                    <w:t xml:space="preserve">97</w:t>
                  </w:r>
                </w:p>
              </w:tc>
              <w:tc>
                <w:tcPr>
                  <w:tcW w:w="500" w:type="pct"/>
                  <w:vAlign w:val="top"/>
                </w:tcPr>
                <w:p>
                  <w:r>
                    <w:t xml:space="preserve">180</w:t>
                  </w:r>
                </w:p>
              </w:tc>
              <w:tc>
                <w:tcPr>
                  <w:tcW w:w="350" w:type="pct"/>
                  <w:vAlign w:val="top"/>
                </w:tcPr>
                <w:p>
                  <w:r>
                    <w:t xml:space="preserve">165</w:t>
                  </w:r>
                </w:p>
              </w:tc>
              <w:tc>
                <w:tcPr>
                  <w:tcW w:w="400" w:type="pct"/>
                  <w:vAlign w:val="top"/>
                </w:tcPr>
                <w:p>
                  <w:r>
                    <w:t xml:space="preserve">562</w:t>
                  </w:r>
                </w:p>
              </w:tc>
              <w:tc>
                <w:tcPr>
                  <w:tcW w:w="500" w:type="pct"/>
                  <w:vAlign w:val="top"/>
                </w:tcPr>
                <w:p>
                  <w:r>
                    <w:t xml:space="preserve">713</w:t>
                  </w:r>
                </w:p>
              </w:tc>
              <w:tc>
                <w:tcPr>
                  <w:tcW w:w="650" w:type="pct"/>
                  <w:vAlign w:val="top"/>
                </w:tcPr>
                <w:p>
                  <w:r>
                    <w:t xml:space="preserve">49.5%</w:t>
                  </w:r>
                </w:p>
              </w:tc>
            </w:tr>
            <w:tr>
              <w:trPr/>
              <w:tc>
                <w:tcPr>
                  <w:tcW w:w="1550" w:type="pct"/>
                  <w:vAlign w:val="top"/>
                </w:tcPr>
                <w:p>
                  <w:r>
                    <w:t xml:space="preserve">Melbourne</w:t>
                  </w:r>
                </w:p>
              </w:tc>
              <w:tc>
                <w:tcPr>
                  <w:tcW w:w="550" w:type="pct"/>
                  <w:vAlign w:val="top"/>
                </w:tcPr>
                <w:p>
                  <w:r>
                    <w:t xml:space="preserve">2,907</w:t>
                  </w:r>
                </w:p>
              </w:tc>
              <w:tc>
                <w:tcPr>
                  <w:tcW w:w="300" w:type="pct"/>
                  <w:vAlign w:val="top"/>
                </w:tcPr>
                <w:p>
                  <w:r>
                    <w:t xml:space="preserve">182</w:t>
                  </w:r>
                </w:p>
              </w:tc>
              <w:tc>
                <w:tcPr>
                  <w:tcW w:w="500" w:type="pct"/>
                  <w:vAlign w:val="top"/>
                </w:tcPr>
                <w:p>
                  <w:r>
                    <w:t xml:space="preserve">456</w:t>
                  </w:r>
                </w:p>
              </w:tc>
              <w:tc>
                <w:tcPr>
                  <w:tcW w:w="350" w:type="pct"/>
                  <w:vAlign w:val="top"/>
                </w:tcPr>
                <w:p>
                  <w:r>
                    <w:t xml:space="preserve">302</w:t>
                  </w:r>
                </w:p>
              </w:tc>
              <w:tc>
                <w:tcPr>
                  <w:tcW w:w="400" w:type="pct"/>
                  <w:vAlign w:val="top"/>
                </w:tcPr>
                <w:p>
                  <w:r>
                    <w:t xml:space="preserve">1,003</w:t>
                  </w:r>
                </w:p>
              </w:tc>
              <w:tc>
                <w:tcPr>
                  <w:tcW w:w="500" w:type="pct"/>
                  <w:vAlign w:val="top"/>
                </w:tcPr>
                <w:p>
                  <w:r>
                    <w:t xml:space="preserve">964</w:t>
                  </w:r>
                </w:p>
              </w:tc>
              <w:tc>
                <w:tcPr>
                  <w:tcW w:w="650" w:type="pct"/>
                  <w:vAlign w:val="top"/>
                </w:tcPr>
                <w:p>
                  <w:r>
                    <w:t xml:space="preserve">42.5%</w:t>
                  </w:r>
                </w:p>
              </w:tc>
            </w:tr>
            <w:tr>
              <w:trPr/>
              <w:tc>
                <w:tcPr>
                  <w:tcW w:w="1550" w:type="pct"/>
                  <w:vAlign w:val="top"/>
                </w:tcPr>
                <w:p>
                  <w:r>
                    <w:t xml:space="preserve">Balance of Victoria</w:t>
                  </w:r>
                </w:p>
              </w:tc>
              <w:tc>
                <w:tcPr>
                  <w:tcW w:w="550" w:type="pct"/>
                  <w:vAlign w:val="top"/>
                </w:tcPr>
                <w:p>
                  <w:r>
                    <w:t xml:space="preserve">1,317</w:t>
                  </w:r>
                </w:p>
              </w:tc>
              <w:tc>
                <w:tcPr>
                  <w:tcW w:w="300" w:type="pct"/>
                  <w:vAlign w:val="top"/>
                </w:tcPr>
                <w:p>
                  <w:r>
                    <w:t xml:space="preserve">62</w:t>
                  </w:r>
                </w:p>
              </w:tc>
              <w:tc>
                <w:tcPr>
                  <w:tcW w:w="500" w:type="pct"/>
                  <w:vAlign w:val="top"/>
                </w:tcPr>
                <w:p>
                  <w:r>
                    <w:t xml:space="preserve">234</w:t>
                  </w:r>
                </w:p>
              </w:tc>
              <w:tc>
                <w:tcPr>
                  <w:tcW w:w="350" w:type="pct"/>
                  <w:vAlign w:val="top"/>
                </w:tcPr>
                <w:p>
                  <w:r>
                    <w:t xml:space="preserve">123</w:t>
                  </w:r>
                </w:p>
              </w:tc>
              <w:tc>
                <w:tcPr>
                  <w:tcW w:w="400" w:type="pct"/>
                  <w:vAlign w:val="top"/>
                </w:tcPr>
                <w:p>
                  <w:r>
                    <w:t xml:space="preserve">404</w:t>
                  </w:r>
                </w:p>
              </w:tc>
              <w:tc>
                <w:tcPr>
                  <w:tcW w:w="500" w:type="pct"/>
                  <w:vAlign w:val="top"/>
                </w:tcPr>
                <w:p>
                  <w:r>
                    <w:t xml:space="preserve">494</w:t>
                  </w:r>
                </w:p>
              </w:tc>
              <w:tc>
                <w:tcPr>
                  <w:tcW w:w="650" w:type="pct"/>
                  <w:vAlign w:val="top"/>
                </w:tcPr>
                <w:p>
                  <w:r>
                    <w:t xml:space="preserve">48.4%</w:t>
                  </w:r>
                </w:p>
              </w:tc>
            </w:tr>
            <w:tr>
              <w:trPr/>
              <w:tc>
                <w:tcPr>
                  <w:tcW w:w="1550" w:type="pct"/>
                  <w:vAlign w:val="top"/>
                </w:tcPr>
                <w:p>
                  <w:r>
                    <w:t xml:space="preserve">Brisbane</w:t>
                  </w:r>
                </w:p>
              </w:tc>
              <w:tc>
                <w:tcPr>
                  <w:tcW w:w="550" w:type="pct"/>
                  <w:vAlign w:val="top"/>
                </w:tcPr>
                <w:p>
                  <w:r>
                    <w:t xml:space="preserve">1,218</w:t>
                  </w:r>
                </w:p>
              </w:tc>
              <w:tc>
                <w:tcPr>
                  <w:tcW w:w="300" w:type="pct"/>
                  <w:vAlign w:val="top"/>
                </w:tcPr>
                <w:p>
                  <w:r>
                    <w:t xml:space="preserve">80</w:t>
                  </w:r>
                </w:p>
              </w:tc>
              <w:tc>
                <w:tcPr>
                  <w:tcW w:w="500" w:type="pct"/>
                  <w:vAlign w:val="top"/>
                </w:tcPr>
                <w:p>
                  <w:r>
                    <w:t xml:space="preserve">32</w:t>
                  </w:r>
                </w:p>
              </w:tc>
              <w:tc>
                <w:tcPr>
                  <w:tcW w:w="350" w:type="pct"/>
                  <w:vAlign w:val="top"/>
                </w:tcPr>
                <w:p>
                  <w:r>
                    <w:t xml:space="preserve">137</w:t>
                  </w:r>
                </w:p>
              </w:tc>
              <w:tc>
                <w:tcPr>
                  <w:tcW w:w="400" w:type="pct"/>
                  <w:vAlign w:val="top"/>
                </w:tcPr>
                <w:p>
                  <w:r>
                    <w:t xml:space="preserve">423</w:t>
                  </w:r>
                </w:p>
              </w:tc>
              <w:tc>
                <w:tcPr>
                  <w:tcW w:w="500" w:type="pct"/>
                  <w:vAlign w:val="top"/>
                </w:tcPr>
                <w:p>
                  <w:r>
                    <w:t xml:space="preserve">546</w:t>
                  </w:r>
                </w:p>
              </w:tc>
              <w:tc>
                <w:tcPr>
                  <w:tcW w:w="650" w:type="pct"/>
                  <w:vAlign w:val="top"/>
                </w:tcPr>
                <w:p>
                  <w:r>
                    <w:t xml:space="preserve">49.4%</w:t>
                  </w:r>
                </w:p>
              </w:tc>
            </w:tr>
            <w:tr>
              <w:trPr/>
              <w:tc>
                <w:tcPr>
                  <w:tcW w:w="1550" w:type="pct"/>
                  <w:vAlign w:val="top"/>
                </w:tcPr>
                <w:p>
                  <w:r>
                    <w:t xml:space="preserve">Balance of Queensland</w:t>
                  </w:r>
                </w:p>
              </w:tc>
              <w:tc>
                <w:tcPr>
                  <w:tcW w:w="550" w:type="pct"/>
                  <w:vAlign w:val="top"/>
                </w:tcPr>
                <w:p>
                  <w:r>
                    <w:t xml:space="preserve">1,309</w:t>
                  </w:r>
                </w:p>
              </w:tc>
              <w:tc>
                <w:tcPr>
                  <w:tcW w:w="300" w:type="pct"/>
                  <w:vAlign w:val="top"/>
                </w:tcPr>
                <w:p>
                  <w:r>
                    <w:t xml:space="preserve">87</w:t>
                  </w:r>
                </w:p>
              </w:tc>
              <w:tc>
                <w:tcPr>
                  <w:tcW w:w="500" w:type="pct"/>
                  <w:vAlign w:val="top"/>
                </w:tcPr>
                <w:p>
                  <w:r>
                    <w:t xml:space="preserve">11</w:t>
                  </w:r>
                </w:p>
              </w:tc>
              <w:tc>
                <w:tcPr>
                  <w:tcW w:w="350" w:type="pct"/>
                  <w:vAlign w:val="top"/>
                </w:tcPr>
                <w:p>
                  <w:r>
                    <w:t xml:space="preserve">156</w:t>
                  </w:r>
                </w:p>
              </w:tc>
              <w:tc>
                <w:tcPr>
                  <w:tcW w:w="400" w:type="pct"/>
                  <w:vAlign w:val="top"/>
                </w:tcPr>
                <w:p>
                  <w:r>
                    <w:t xml:space="preserve">476</w:t>
                  </w:r>
                </w:p>
              </w:tc>
              <w:tc>
                <w:tcPr>
                  <w:tcW w:w="500" w:type="pct"/>
                  <w:vAlign w:val="top"/>
                </w:tcPr>
                <w:p>
                  <w:r>
                    <w:t xml:space="preserve">579</w:t>
                  </w:r>
                </w:p>
              </w:tc>
              <w:tc>
                <w:tcPr>
                  <w:tcW w:w="650" w:type="pct"/>
                  <w:vAlign w:val="top"/>
                </w:tcPr>
                <w:p>
                  <w:r>
                    <w:t xml:space="preserve">47.8%</w:t>
                  </w:r>
                </w:p>
              </w:tc>
            </w:tr>
            <w:tr>
              <w:trPr/>
              <w:tc>
                <w:tcPr>
                  <w:tcW w:w="1550" w:type="pct"/>
                  <w:vAlign w:val="top"/>
                </w:tcPr>
                <w:p>
                  <w:r>
                    <w:t xml:space="preserve">Adelaide</w:t>
                  </w:r>
                </w:p>
              </w:tc>
              <w:tc>
                <w:tcPr>
                  <w:tcW w:w="550" w:type="pct"/>
                  <w:vAlign w:val="top"/>
                </w:tcPr>
                <w:p>
                  <w:r>
                    <w:t xml:space="preserve">1,450</w:t>
                  </w:r>
                </w:p>
              </w:tc>
              <w:tc>
                <w:tcPr>
                  <w:tcW w:w="300" w:type="pct"/>
                  <w:vAlign w:val="top"/>
                </w:tcPr>
                <w:p>
                  <w:r>
                    <w:t xml:space="preserve">99</w:t>
                  </w:r>
                </w:p>
              </w:tc>
              <w:tc>
                <w:tcPr>
                  <w:tcW w:w="500" w:type="pct"/>
                  <w:vAlign w:val="top"/>
                </w:tcPr>
                <w:p>
                  <w:r>
                    <w:t xml:space="preserve">275</w:t>
                  </w:r>
                </w:p>
              </w:tc>
              <w:tc>
                <w:tcPr>
                  <w:tcW w:w="350" w:type="pct"/>
                  <w:vAlign w:val="top"/>
                </w:tcPr>
                <w:p>
                  <w:r>
                    <w:t xml:space="preserve">147</w:t>
                  </w:r>
                </w:p>
              </w:tc>
              <w:tc>
                <w:tcPr>
                  <w:tcW w:w="400" w:type="pct"/>
                  <w:vAlign w:val="top"/>
                </w:tcPr>
                <w:p>
                  <w:r>
                    <w:t xml:space="preserve">367</w:t>
                  </w:r>
                </w:p>
              </w:tc>
              <w:tc>
                <w:tcPr>
                  <w:tcW w:w="500" w:type="pct"/>
                  <w:vAlign w:val="top"/>
                </w:tcPr>
                <w:p>
                  <w:r>
                    <w:t xml:space="preserve">562</w:t>
                  </w:r>
                </w:p>
              </w:tc>
              <w:tc>
                <w:tcPr>
                  <w:tcW w:w="650" w:type="pct"/>
                  <w:vAlign w:val="top"/>
                </w:tcPr>
                <w:p>
                  <w:r>
                    <w:t xml:space="preserve">52.2%</w:t>
                  </w:r>
                </w:p>
              </w:tc>
            </w:tr>
            <w:tr>
              <w:trPr/>
              <w:tc>
                <w:tcPr>
                  <w:tcW w:w="1550" w:type="pct"/>
                  <w:vAlign w:val="top"/>
                </w:tcPr>
                <w:p>
                  <w:r>
                    <w:t xml:space="preserve">Balance of South Australia</w:t>
                  </w:r>
                </w:p>
              </w:tc>
              <w:tc>
                <w:tcPr>
                  <w:tcW w:w="550" w:type="pct"/>
                  <w:vAlign w:val="top"/>
                </w:tcPr>
                <w:p>
                  <w:r>
                    <w:t xml:space="preserve">574</w:t>
                  </w:r>
                </w:p>
              </w:tc>
              <w:tc>
                <w:tcPr>
                  <w:tcW w:w="300" w:type="pct"/>
                  <w:vAlign w:val="top"/>
                </w:tcPr>
                <w:p>
                  <w:r>
                    <w:t xml:space="preserve">26</w:t>
                  </w:r>
                </w:p>
              </w:tc>
              <w:tc>
                <w:tcPr>
                  <w:tcW w:w="500" w:type="pct"/>
                  <w:vAlign w:val="top"/>
                </w:tcPr>
                <w:p>
                  <w:r>
                    <w:t xml:space="preserve">16</w:t>
                  </w:r>
                </w:p>
              </w:tc>
              <w:tc>
                <w:tcPr>
                  <w:tcW w:w="350" w:type="pct"/>
                  <w:vAlign w:val="top"/>
                </w:tcPr>
                <w:p>
                  <w:r>
                    <w:t xml:space="preserve">51</w:t>
                  </w:r>
                </w:p>
              </w:tc>
              <w:tc>
                <w:tcPr>
                  <w:tcW w:w="400" w:type="pct"/>
                  <w:vAlign w:val="top"/>
                </w:tcPr>
                <w:p>
                  <w:r>
                    <w:t xml:space="preserve">163</w:t>
                  </w:r>
                </w:p>
              </w:tc>
              <w:tc>
                <w:tcPr>
                  <w:tcW w:w="500" w:type="pct"/>
                  <w:vAlign w:val="top"/>
                </w:tcPr>
                <w:p>
                  <w:r>
                    <w:t xml:space="preserve">318</w:t>
                  </w:r>
                </w:p>
              </w:tc>
              <w:tc>
                <w:tcPr>
                  <w:tcW w:w="650" w:type="pct"/>
                  <w:vAlign w:val="top"/>
                </w:tcPr>
                <w:p>
                  <w:r>
                    <w:t xml:space="preserve">59.8%</w:t>
                  </w:r>
                </w:p>
              </w:tc>
            </w:tr>
            <w:tr>
              <w:trPr/>
              <w:tc>
                <w:tcPr>
                  <w:tcW w:w="1550" w:type="pct"/>
                  <w:vAlign w:val="top"/>
                </w:tcPr>
                <w:p>
                  <w:r>
                    <w:t xml:space="preserve">Perth</w:t>
                  </w:r>
                </w:p>
              </w:tc>
              <w:tc>
                <w:tcPr>
                  <w:tcW w:w="550" w:type="pct"/>
                  <w:vAlign w:val="top"/>
                </w:tcPr>
                <w:p>
                  <w:r>
                    <w:t xml:space="preserve">1,982</w:t>
                  </w:r>
                </w:p>
              </w:tc>
              <w:tc>
                <w:tcPr>
                  <w:tcW w:w="300" w:type="pct"/>
                  <w:vAlign w:val="top"/>
                </w:tcPr>
                <w:p>
                  <w:r>
                    <w:t xml:space="preserve">139</w:t>
                  </w:r>
                </w:p>
              </w:tc>
              <w:tc>
                <w:tcPr>
                  <w:tcW w:w="500" w:type="pct"/>
                  <w:vAlign w:val="top"/>
                </w:tcPr>
                <w:p>
                  <w:r>
                    <w:t xml:space="preserve">440</w:t>
                  </w:r>
                </w:p>
              </w:tc>
              <w:tc>
                <w:tcPr>
                  <w:tcW w:w="350" w:type="pct"/>
                  <w:vAlign w:val="top"/>
                </w:tcPr>
                <w:p>
                  <w:r>
                    <w:t xml:space="preserve">178</w:t>
                  </w:r>
                </w:p>
              </w:tc>
              <w:tc>
                <w:tcPr>
                  <w:tcW w:w="400" w:type="pct"/>
                  <w:vAlign w:val="top"/>
                </w:tcPr>
                <w:p>
                  <w:r>
                    <w:t xml:space="preserve">589</w:t>
                  </w:r>
                </w:p>
              </w:tc>
              <w:tc>
                <w:tcPr>
                  <w:tcW w:w="500" w:type="pct"/>
                  <w:vAlign w:val="top"/>
                </w:tcPr>
                <w:p>
                  <w:r>
                    <w:t xml:space="preserve">636</w:t>
                  </w:r>
                </w:p>
              </w:tc>
              <w:tc>
                <w:tcPr>
                  <w:tcW w:w="650" w:type="pct"/>
                  <w:vAlign w:val="top"/>
                </w:tcPr>
                <w:p>
                  <w:r>
                    <w:t xml:space="preserve">45.3%</w:t>
                  </w:r>
                </w:p>
              </w:tc>
            </w:tr>
            <w:tr>
              <w:trPr/>
              <w:tc>
                <w:tcPr>
                  <w:tcW w:w="1550" w:type="pct"/>
                  <w:vAlign w:val="top"/>
                </w:tcPr>
                <w:p>
                  <w:r>
                    <w:t xml:space="preserve">Balance of Western Australia</w:t>
                  </w:r>
                </w:p>
              </w:tc>
              <w:tc>
                <w:tcPr>
                  <w:tcW w:w="550" w:type="pct"/>
                  <w:vAlign w:val="top"/>
                </w:tcPr>
                <w:p>
                  <w:r>
                    <w:t xml:space="preserve">633</w:t>
                  </w:r>
                </w:p>
              </w:tc>
              <w:tc>
                <w:tcPr>
                  <w:tcW w:w="300" w:type="pct"/>
                  <w:vAlign w:val="top"/>
                </w:tcPr>
                <w:p>
                  <w:r>
                    <w:t xml:space="preserve">37</w:t>
                  </w:r>
                </w:p>
              </w:tc>
              <w:tc>
                <w:tcPr>
                  <w:tcW w:w="500" w:type="pct"/>
                  <w:vAlign w:val="top"/>
                </w:tcPr>
                <w:p>
                  <w:r>
                    <w:t xml:space="preserve">0</w:t>
                  </w:r>
                </w:p>
              </w:tc>
              <w:tc>
                <w:tcPr>
                  <w:tcW w:w="350" w:type="pct"/>
                  <w:vAlign w:val="top"/>
                </w:tcPr>
                <w:p>
                  <w:r>
                    <w:t xml:space="preserve">79</w:t>
                  </w:r>
                </w:p>
              </w:tc>
              <w:tc>
                <w:tcPr>
                  <w:tcW w:w="400" w:type="pct"/>
                  <w:vAlign w:val="top"/>
                </w:tcPr>
                <w:p>
                  <w:r>
                    <w:t xml:space="preserve">205</w:t>
                  </w:r>
                </w:p>
              </w:tc>
              <w:tc>
                <w:tcPr>
                  <w:tcW w:w="500" w:type="pct"/>
                  <w:vAlign w:val="top"/>
                </w:tcPr>
                <w:p>
                  <w:r>
                    <w:t xml:space="preserve">312</w:t>
                  </w:r>
                </w:p>
              </w:tc>
              <w:tc>
                <w:tcPr>
                  <w:tcW w:w="650" w:type="pct"/>
                  <w:vAlign w:val="top"/>
                </w:tcPr>
                <w:p>
                  <w:r>
                    <w:t xml:space="preserve">52.3%</w:t>
                  </w:r>
                </w:p>
              </w:tc>
            </w:tr>
            <w:tr>
              <w:trPr/>
              <w:tc>
                <w:tcPr>
                  <w:tcW w:w="1550" w:type="pct"/>
                  <w:vAlign w:val="top"/>
                </w:tcPr>
                <w:p>
                  <w:r>
                    <w:t xml:space="preserve">Hobart</w:t>
                  </w:r>
                </w:p>
              </w:tc>
              <w:tc>
                <w:tcPr>
                  <w:tcW w:w="550" w:type="pct"/>
                  <w:vAlign w:val="top"/>
                </w:tcPr>
                <w:p>
                  <w:r>
                    <w:t xml:space="preserve">814</w:t>
                  </w:r>
                </w:p>
              </w:tc>
              <w:tc>
                <w:tcPr>
                  <w:tcW w:w="300" w:type="pct"/>
                  <w:vAlign w:val="top"/>
                </w:tcPr>
                <w:p>
                  <w:r>
                    <w:t xml:space="preserve">38</w:t>
                  </w:r>
                </w:p>
              </w:tc>
              <w:tc>
                <w:tcPr>
                  <w:tcW w:w="500" w:type="pct"/>
                  <w:vAlign w:val="top"/>
                </w:tcPr>
                <w:p>
                  <w:r>
                    <w:t xml:space="preserve">145</w:t>
                  </w:r>
                </w:p>
              </w:tc>
              <w:tc>
                <w:tcPr>
                  <w:tcW w:w="350" w:type="pct"/>
                  <w:vAlign w:val="top"/>
                </w:tcPr>
                <w:p>
                  <w:r>
                    <w:t xml:space="preserve">80</w:t>
                  </w:r>
                </w:p>
              </w:tc>
              <w:tc>
                <w:tcPr>
                  <w:tcW w:w="400" w:type="pct"/>
                  <w:vAlign w:val="top"/>
                </w:tcPr>
                <w:p>
                  <w:r>
                    <w:t xml:space="preserve">207</w:t>
                  </w:r>
                </w:p>
              </w:tc>
              <w:tc>
                <w:tcPr>
                  <w:tcW w:w="500" w:type="pct"/>
                  <w:vAlign w:val="top"/>
                </w:tcPr>
                <w:p>
                  <w:r>
                    <w:t xml:space="preserve">344</w:t>
                  </w:r>
                </w:p>
              </w:tc>
              <w:tc>
                <w:tcPr>
                  <w:tcW w:w="650" w:type="pct"/>
                  <w:vAlign w:val="top"/>
                </w:tcPr>
                <w:p>
                  <w:r>
                    <w:t xml:space="preserve">54.5%</w:t>
                  </w:r>
                </w:p>
              </w:tc>
            </w:tr>
            <w:tr>
              <w:trPr/>
              <w:tc>
                <w:tcPr>
                  <w:tcW w:w="1550" w:type="pct"/>
                  <w:vAlign w:val="top"/>
                </w:tcPr>
                <w:p>
                  <w:r>
                    <w:t xml:space="preserve">Tasmania</w:t>
                  </w:r>
                </w:p>
              </w:tc>
              <w:tc>
                <w:tcPr>
                  <w:tcW w:w="550" w:type="pct"/>
                  <w:vAlign w:val="top"/>
                </w:tcPr>
                <w:p>
                  <w:r>
                    <w:t xml:space="preserve">807</w:t>
                  </w:r>
                </w:p>
              </w:tc>
              <w:tc>
                <w:tcPr>
                  <w:tcW w:w="300" w:type="pct"/>
                  <w:vAlign w:val="top"/>
                </w:tcPr>
                <w:p>
                  <w:r>
                    <w:t xml:space="preserve">45</w:t>
                  </w:r>
                </w:p>
              </w:tc>
              <w:tc>
                <w:tcPr>
                  <w:tcW w:w="500" w:type="pct"/>
                  <w:vAlign w:val="top"/>
                </w:tcPr>
                <w:p>
                  <w:r>
                    <w:t xml:space="preserve">86</w:t>
                  </w:r>
                </w:p>
              </w:tc>
              <w:tc>
                <w:tcPr>
                  <w:tcW w:w="350" w:type="pct"/>
                  <w:vAlign w:val="top"/>
                </w:tcPr>
                <w:p>
                  <w:r>
                    <w:t xml:space="preserve">78</w:t>
                  </w:r>
                </w:p>
              </w:tc>
              <w:tc>
                <w:tcPr>
                  <w:tcW w:w="400" w:type="pct"/>
                  <w:vAlign w:val="top"/>
                </w:tcPr>
                <w:p>
                  <w:r>
                    <w:t xml:space="preserve">249</w:t>
                  </w:r>
                </w:p>
              </w:tc>
              <w:tc>
                <w:tcPr>
                  <w:tcW w:w="500" w:type="pct"/>
                  <w:vAlign w:val="top"/>
                </w:tcPr>
                <w:p>
                  <w:r>
                    <w:t xml:space="preserve">349</w:t>
                  </w:r>
                </w:p>
              </w:tc>
              <w:tc>
                <w:tcPr>
                  <w:tcW w:w="650" w:type="pct"/>
                  <w:vAlign w:val="top"/>
                </w:tcPr>
                <w:p>
                  <w:r>
                    <w:t xml:space="preserve">51.6%</w:t>
                  </w:r>
                </w:p>
              </w:tc>
            </w:tr>
            <w:tr>
              <w:trPr/>
              <w:tc>
                <w:tcPr>
                  <w:tcW w:w="1550" w:type="pct"/>
                  <w:vAlign w:val="top"/>
                </w:tcPr>
                <w:p>
                  <w:r>
                    <w:t xml:space="preserve">Australian Capital Territory</w:t>
                  </w:r>
                </w:p>
              </w:tc>
              <w:tc>
                <w:tcPr>
                  <w:tcW w:w="550" w:type="pct"/>
                  <w:vAlign w:val="top"/>
                </w:tcPr>
                <w:p>
                  <w:r>
                    <w:t xml:space="preserve">1,304</w:t>
                  </w:r>
                </w:p>
              </w:tc>
              <w:tc>
                <w:tcPr>
                  <w:tcW w:w="300" w:type="pct"/>
                  <w:vAlign w:val="top"/>
                </w:tcPr>
                <w:p>
                  <w:r>
                    <w:t xml:space="preserve">72</w:t>
                  </w:r>
                </w:p>
              </w:tc>
              <w:tc>
                <w:tcPr>
                  <w:tcW w:w="500" w:type="pct"/>
                  <w:vAlign w:val="top"/>
                </w:tcPr>
                <w:p>
                  <w:r>
                    <w:t xml:space="preserve">220</w:t>
                  </w:r>
                </w:p>
              </w:tc>
              <w:tc>
                <w:tcPr>
                  <w:tcW w:w="350" w:type="pct"/>
                  <w:vAlign w:val="top"/>
                </w:tcPr>
                <w:p>
                  <w:r>
                    <w:t xml:space="preserve">125</w:t>
                  </w:r>
                </w:p>
              </w:tc>
              <w:tc>
                <w:tcPr>
                  <w:tcW w:w="400" w:type="pct"/>
                  <w:vAlign w:val="top"/>
                </w:tcPr>
                <w:p>
                  <w:r>
                    <w:t xml:space="preserve">340</w:t>
                  </w:r>
                </w:p>
              </w:tc>
              <w:tc>
                <w:tcPr>
                  <w:tcW w:w="500" w:type="pct"/>
                  <w:vAlign w:val="top"/>
                </w:tcPr>
                <w:p>
                  <w:r>
                    <w:t xml:space="preserve">547</w:t>
                  </w:r>
                </w:p>
              </w:tc>
              <w:tc>
                <w:tcPr>
                  <w:tcW w:w="650" w:type="pct"/>
                  <w:vAlign w:val="top"/>
                </w:tcPr>
                <w:p>
                  <w:r>
                    <w:t xml:space="preserve">54.1%</w:t>
                  </w:r>
                </w:p>
              </w:tc>
            </w:tr>
            <w:tr>
              <w:trPr/>
              <w:tc>
                <w:tcPr>
                  <w:tcW w:w="1550" w:type="pct"/>
                  <w:vAlign w:val="top"/>
                </w:tcPr>
                <w:p>
                  <w:r>
                    <w:t xml:space="preserve">Darwin</w:t>
                  </w:r>
                </w:p>
              </w:tc>
              <w:tc>
                <w:tcPr>
                  <w:tcW w:w="550" w:type="pct"/>
                  <w:vAlign w:val="top"/>
                </w:tcPr>
                <w:p>
                  <w:r>
                    <w:t xml:space="preserve">852</w:t>
                  </w:r>
                </w:p>
              </w:tc>
              <w:tc>
                <w:tcPr>
                  <w:tcW w:w="300" w:type="pct"/>
                  <w:vAlign w:val="top"/>
                </w:tcPr>
                <w:p>
                  <w:r>
                    <w:t xml:space="preserve">102</w:t>
                  </w:r>
                </w:p>
              </w:tc>
              <w:tc>
                <w:tcPr>
                  <w:tcW w:w="500" w:type="pct"/>
                  <w:vAlign w:val="top"/>
                </w:tcPr>
                <w:p>
                  <w:r>
                    <w:t xml:space="preserve">56</w:t>
                  </w:r>
                </w:p>
              </w:tc>
              <w:tc>
                <w:tcPr>
                  <w:tcW w:w="350" w:type="pct"/>
                  <w:vAlign w:val="top"/>
                </w:tcPr>
                <w:p>
                  <w:r>
                    <w:t xml:space="preserve">106</w:t>
                  </w:r>
                </w:p>
              </w:tc>
              <w:tc>
                <w:tcPr>
                  <w:tcW w:w="400" w:type="pct"/>
                  <w:vAlign w:val="top"/>
                </w:tcPr>
                <w:p>
                  <w:r>
                    <w:t xml:space="preserve">272</w:t>
                  </w:r>
                </w:p>
              </w:tc>
              <w:tc>
                <w:tcPr>
                  <w:tcW w:w="500" w:type="pct"/>
                  <w:vAlign w:val="top"/>
                </w:tcPr>
                <w:p>
                  <w:r>
                    <w:t xml:space="preserve">316</w:t>
                  </w:r>
                </w:p>
              </w:tc>
              <w:tc>
                <w:tcPr>
                  <w:tcW w:w="650" w:type="pct"/>
                  <w:vAlign w:val="top"/>
                </w:tcPr>
                <w:p>
                  <w:r>
                    <w:t xml:space="preserve">45.5%</w:t>
                  </w:r>
                </w:p>
              </w:tc>
            </w:tr>
            <w:tr>
              <w:trPr/>
              <w:tc>
                <w:tcPr>
                  <w:tcW w:w="1550" w:type="pct"/>
                  <w:vAlign w:val="top"/>
                </w:tcPr>
                <w:p>
                  <w:r>
                    <w:t xml:space="preserve">Northern Territory</w:t>
                  </w:r>
                </w:p>
              </w:tc>
              <w:tc>
                <w:tcPr>
                  <w:tcW w:w="550" w:type="pct"/>
                  <w:vAlign w:val="top"/>
                </w:tcPr>
                <w:p>
                  <w:r>
                    <w:t xml:space="preserve">679</w:t>
                  </w:r>
                </w:p>
              </w:tc>
              <w:tc>
                <w:tcPr>
                  <w:tcW w:w="300" w:type="pct"/>
                  <w:vAlign w:val="top"/>
                </w:tcPr>
                <w:p>
                  <w:r>
                    <w:t xml:space="preserve">64</w:t>
                  </w:r>
                </w:p>
              </w:tc>
              <w:tc>
                <w:tcPr>
                  <w:tcW w:w="500" w:type="pct"/>
                  <w:vAlign w:val="top"/>
                </w:tcPr>
                <w:p>
                  <w:r>
                    <w:t xml:space="preserve">23</w:t>
                  </w:r>
                </w:p>
              </w:tc>
              <w:tc>
                <w:tcPr>
                  <w:tcW w:w="350" w:type="pct"/>
                  <w:vAlign w:val="top"/>
                </w:tcPr>
                <w:p>
                  <w:r>
                    <w:t xml:space="preserve">112</w:t>
                  </w:r>
                </w:p>
              </w:tc>
              <w:tc>
                <w:tcPr>
                  <w:tcW w:w="400" w:type="pct"/>
                  <w:vAlign w:val="top"/>
                </w:tcPr>
                <w:p>
                  <w:r>
                    <w:t xml:space="preserve">211</w:t>
                  </w:r>
                </w:p>
              </w:tc>
              <w:tc>
                <w:tcPr>
                  <w:tcW w:w="500" w:type="pct"/>
                  <w:vAlign w:val="top"/>
                </w:tcPr>
                <w:p>
                  <w:r>
                    <w:t xml:space="preserve">269</w:t>
                  </w:r>
                </w:p>
              </w:tc>
              <w:tc>
                <w:tcPr>
                  <w:tcW w:w="650" w:type="pct"/>
                  <w:vAlign w:val="top"/>
                </w:tcPr>
                <w:p>
                  <w:r>
                    <w:t xml:space="preserve">45.4%</w:t>
                  </w:r>
                </w:p>
              </w:tc>
            </w:tr>
            <w:tr>
              <w:trPr/>
              <w:tc>
                <w:tcPr>
                  <w:tcW w:w="1550" w:type="pct"/>
                  <w:vAlign w:val="top"/>
                </w:tcPr>
                <w:p>
                  <w:r>
                    <w:rPr>
                      <w:b/>
                    </w:rPr>
                    <w:t xml:space="preserve">Total</w:t>
                  </w:r>
                </w:p>
              </w:tc>
              <w:tc>
                <w:tcPr>
                  <w:tcW w:w="550" w:type="pct"/>
                  <w:vAlign w:val="top"/>
                </w:tcPr>
                <w:p>
                  <w:r>
                    <w:rPr>
                      <w:b/>
                    </w:rPr>
                    <w:t xml:space="preserve">20,343</w:t>
                  </w:r>
                </w:p>
              </w:tc>
              <w:tc>
                <w:tcPr>
                  <w:tcW w:w="300" w:type="pct"/>
                  <w:vAlign w:val="top"/>
                </w:tcPr>
                <w:p>
                  <w:r>
                    <w:rPr>
                      <w:b/>
                    </w:rPr>
                    <w:t xml:space="preserve">1,321</w:t>
                  </w:r>
                </w:p>
              </w:tc>
              <w:tc>
                <w:tcPr>
                  <w:tcW w:w="500" w:type="pct"/>
                  <w:vAlign w:val="top"/>
                </w:tcPr>
                <w:p>
                  <w:r>
                    <w:rPr>
                      <w:b/>
                    </w:rPr>
                    <w:t xml:space="preserve">2,569</w:t>
                  </w:r>
                </w:p>
              </w:tc>
              <w:tc>
                <w:tcPr>
                  <w:tcW w:w="350" w:type="pct"/>
                  <w:vAlign w:val="top"/>
                </w:tcPr>
                <w:p>
                  <w:r>
                    <w:rPr>
                      <w:b/>
                    </w:rPr>
                    <w:t xml:space="preserve">2,174</w:t>
                  </w:r>
                </w:p>
              </w:tc>
              <w:tc>
                <w:tcPr>
                  <w:tcW w:w="400" w:type="pct"/>
                  <w:vAlign w:val="top"/>
                </w:tcPr>
                <w:p>
                  <w:r>
                    <w:rPr>
                      <w:b/>
                    </w:rPr>
                    <w:t xml:space="preserve">6,410</w:t>
                  </w:r>
                </w:p>
              </w:tc>
              <w:tc>
                <w:tcPr>
                  <w:tcW w:w="500" w:type="pct"/>
                  <w:vAlign w:val="top"/>
                </w:tcPr>
                <w:p>
                  <w:r>
                    <w:rPr>
                      <w:b/>
                    </w:rPr>
                    <w:t xml:space="preserve">7,869</w:t>
                  </w:r>
                </w:p>
              </w:tc>
              <w:tc>
                <w:tcPr>
                  <w:tcW w:w="650" w:type="pct"/>
                  <w:vAlign w:val="top"/>
                </w:tcPr>
                <w:p>
                  <w:r>
                    <w:rPr>
                      <w:b/>
                    </w:rPr>
                    <w:t xml:space="preserve">47.8%</w:t>
                  </w:r>
                </w:p>
              </w:tc>
            </w:tr>
          </w:tbl>
          <w:p>
            <w:r>
              <w:t xml:space="preserve"> </w:t>
            </w:r>
          </w:p>
          <w:p>
            <w:r>
              <w:t xml:space="preserve">As with all survey data, these data are subject to sampling error and non-response bias. Data are weighted and the magnitude of sampling error is indicated by 95% confidence intervals included with all published estimates.</w:t>
            </w:r>
          </w:p>
          <w:p>
            <w:r>
              <w:t xml:space="preserve">Interviews were rendered invalid if they were missing the demographic data which were necessary for them to be weighted by the probability of selection. These requirements were the sex, age and dwelling type of the respondent, and the number of persons in the same household who may have been selected instead of the respondent. Due to incomplete data, 31 records (0.3%) were excluded from the final dataset.</w:t>
            </w:r>
          </w:p>
          <w:p>
            <w:r>
              <w:t xml:space="preserve">For those records which were able to be weighted there were very few missing data items. Consequently, all weighted records generated useable data for analysis.</w:t>
            </w:r>
          </w:p>
          <w:p>
            <w:r>
              <w:t xml:space="preserve">Detailed description of survey methodology can be found in Appendix A of the Insurance and use of dental services (NDTIS 2010) publication at </w:t>
            </w:r>
            <w:hyperlink w:history="true" r:id="R2cd3ccaae9ca4fbb">
              <w:r>
                <w:rPr>
                  <w:rStyle w:val="Hyperlink"/>
                </w:rPr>
                <w:t xml:space="preserve">http://www.aihw.gov.au/WorkArea/DownloadAsset.aspx?id=10737421951</w:t>
              </w:r>
            </w:hyperlink>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has been conducted regularly since 1994. While some changes have been made to the questionnaire and methodology over time, the data items used to derive most estimates have been consistent over time. In 2010 the sample of children aged 5–17 years was increased and children aged 2–4 added for the first time. Specific questions asked in each NDTIS are listed in appendices to the technical reports for each survey. These technical reports are available at </w:t>
            </w:r>
          </w:p>
          <w:p>
            <w:hyperlink w:history="true" r:id="R57ef51300f314e35">
              <w:r>
                <w:rPr>
                  <w:rStyle w:val="Hyperlink"/>
                </w:rPr>
                <w:t xml:space="preserve">http://www.arcpoh.adelaide.edu.au/publications/report/statistics/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29/04/2013</w:t>
            </w:r>
          </w:p>
        </w:tc>
      </w:tr>
    </w:tbl>
    <w:p>
      <w:r>
        <w:br/>
      </w:r>
    </w:p>
    <w:sectPr>
      <w:footerReference xmlns:r="http://schemas.openxmlformats.org/officeDocument/2006/relationships" w:type="default" r:id="Rcfbab85564e9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519645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562d7ffa4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ab85564e94b62" /><Relationship Type="http://schemas.openxmlformats.org/officeDocument/2006/relationships/header" Target="/word/header1.xml" Id="R4d6740a58ca14093" /><Relationship Type="http://schemas.openxmlformats.org/officeDocument/2006/relationships/settings" Target="/word/settings.xml" Id="Rcf49ce69a9b04688" /><Relationship Type="http://schemas.openxmlformats.org/officeDocument/2006/relationships/styles" Target="/word/styles.xml" Id="Rdda4c702320b4665" /><Relationship Type="http://schemas.openxmlformats.org/officeDocument/2006/relationships/hyperlink" Target="https://meteor.aihw.gov.au/RegistrationAuthority/5" TargetMode="External" Id="Rab4ef917e9394f9f" /><Relationship Type="http://schemas.openxmlformats.org/officeDocument/2006/relationships/numbering" Target="/word/numbering.xml" Id="R51d9f667e93e48af" /><Relationship Type="http://schemas.openxmlformats.org/officeDocument/2006/relationships/hyperlink" Target="http://www.aihw.gov.au/" TargetMode="External" Id="Rd448fb8fea8c44b9" /><Relationship Type="http://schemas.openxmlformats.org/officeDocument/2006/relationships/hyperlink" Target="http://www.aihw.gov.au/publication-detail/?id=10737420710" TargetMode="External" Id="R53437b981e834c00" /><Relationship Type="http://schemas.openxmlformats.org/officeDocument/2006/relationships/hyperlink" Target="http://www.arcpoh.adelaide.edu.au/publications/report/statistics/" TargetMode="External" Id="Re8ff442ff4184f15" /><Relationship Type="http://schemas.openxmlformats.org/officeDocument/2006/relationships/hyperlink" Target="http://www.aihw.gov.au/dental-and-oral-health/" TargetMode="External" Id="Rf0d3595b2d934b11" /><Relationship Type="http://schemas.openxmlformats.org/officeDocument/2006/relationships/hyperlink" Target="mailto:dsru@adelaide.edu.au" TargetMode="External" Id="Ra3fb1c69295540d0" /><Relationship Type="http://schemas.openxmlformats.org/officeDocument/2006/relationships/hyperlink" Target="http://www.aihw.gov.au/WorkArea/DownloadAsset.aspx?id=10737421951" TargetMode="External" Id="R2cd3ccaae9ca4fbb" /><Relationship Type="http://schemas.openxmlformats.org/officeDocument/2006/relationships/hyperlink" Target="http://www.arcpoh.adelaide.edu.au/publications/report/statistics/" TargetMode="External" Id="R57ef51300f314e35" /></Relationships>
</file>

<file path=word/_rels/header1.xml.rels>&#65279;<?xml version="1.0" encoding="utf-8"?><Relationships xmlns="http://schemas.openxmlformats.org/package/2006/relationships"><Relationship Type="http://schemas.openxmlformats.org/officeDocument/2006/relationships/image" Target="/media/image.png" Id="R49a562d7ffa445aa" /></Relationships>
</file>