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386279f37e4c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747c5254341fe">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and Australian Aboriginal and Torres Strait Islander Health Survey (AATSIHS) were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p>
          <w:p>
            <w:hyperlink w:history="true" r:id="R9c5b7e58d303484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every three years over a 12 month period. Results from the 2011–12 National Health Survey (NHS) component of the AHS were released in October 2012.</w:t>
            </w:r>
          </w:p>
          <w:p>
            <w:pPr/>
            <w:r>
              <w:rPr>
                <w:rStyle w:val="row-content-rich-text"/>
              </w:rPr>
              <w:t xml:space="preserve">The AATSIHS is conducted approximately every six years over a 12 month period. Results from the National Aboriginal and Torres Strait Islander Health Survey (NATSIHS) component of the AATSIHS were released in November 2013. The previous NATSIHS was conducted in 2004–05.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Australian Health Survey: First Results, 2011–12</w:t>
            </w:r>
            <w:r>
              <w:rPr>
                <w:rStyle w:val="row-content-rich-text"/>
              </w:rPr>
              <w:t xml:space="preserve"> (ABS cat. no. 4364.0.55.001) and </w:t>
            </w:r>
            <w:r>
              <w:rPr>
                <w:rStyle w:val="row-content-rich-text"/>
                <w:i/>
              </w:rPr>
              <w:t xml:space="preserve">Australian Health Survey: Health Service Usage and Health Related Actions, 2011–12</w:t>
            </w:r>
            <w:r>
              <w:rPr>
                <w:rStyle w:val="row-content-rich-text"/>
              </w:rPr>
              <w:t xml:space="preserve"> (ABS cat. no. 4364.0.55.002) for an overview of results from the NHS component of the AHS. Other information from this survey is also available on request.</w:t>
            </w:r>
          </w:p>
          <w:p>
            <w:pPr/>
            <w:r>
              <w:rPr>
                <w:rStyle w:val="row-content-rich-text"/>
              </w:rPr>
              <w:t xml:space="preserve">The data for NATSIHS are available from the ABS website in the publication </w:t>
            </w:r>
            <w:r>
              <w:rPr>
                <w:rStyle w:val="row-content-rich-text"/>
                <w:i/>
              </w:rPr>
              <w:t xml:space="preserve">Australian Aboriginal and Torres Strait Islander Health Survey: First Results, Australia, 2012–13</w:t>
            </w:r>
            <w:r>
              <w:rPr>
                <w:rStyle w:val="row-content-rich-text"/>
              </w:rPr>
              <w:t xml:space="preserve"> (ABS cat. no. 4727.0.55.001).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NHS data is available from the </w:t>
            </w:r>
            <w:r>
              <w:rPr>
                <w:rStyle w:val="row-content-rich-text"/>
                <w:i/>
              </w:rPr>
              <w:t xml:space="preserve">Australian Health Survey: User Guide, 2011–13</w:t>
            </w:r>
            <w:r>
              <w:rPr>
                <w:rStyle w:val="row-content-rich-text"/>
              </w:rPr>
              <w:t xml:space="preserve"> (cat. no. 4363.0.55.001).</w:t>
            </w:r>
          </w:p>
          <w:p>
            <w:pPr>
              <w:spacing w:after="160"/>
            </w:pPr>
            <w:r>
              <w:rPr>
                <w:rStyle w:val="row-content-rich-text"/>
              </w:rPr>
              <w:t xml:space="preserve">Information on how to interpret and use the NATSIHS data appropriately is available from Explanatory Notes in </w:t>
            </w:r>
            <w:r>
              <w:rPr>
                <w:rStyle w:val="row-content-rich-text"/>
                <w:i/>
              </w:rPr>
              <w:t xml:space="preserve">Australian Aboriginal and Torres Strait Islander Health Survey: First Results, 2012–13</w:t>
            </w:r>
            <w:r>
              <w:rPr>
                <w:rStyle w:val="row-content-rich-text"/>
              </w:rPr>
              <w:t xml:space="preserve"> (ABS cat. no. 4727.0.55.001) and also from the </w:t>
            </w:r>
            <w:r>
              <w:rPr>
                <w:rStyle w:val="row-content-rich-text"/>
                <w:i/>
              </w:rPr>
              <w:t xml:space="preserve">Australian Aboriginal and Torres Strait Islander Health Survey: Users' Guide, 2012–13</w:t>
            </w:r>
            <w:r>
              <w:rPr>
                <w:rStyle w:val="row-content-rich-text"/>
              </w:rPr>
              <w:t xml:space="preserve"> (ABS cat. no. 4727.0.55.002). </w:t>
            </w:r>
          </w:p>
          <w:p>
            <w:pPr/>
            <w:r>
              <w:rPr>
                <w:rStyle w:val="row-content-rich-text"/>
              </w:rPr>
              <w:t xml:space="preserve">Many health-related issues are closely associated with age, so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NHS and 2012–13 NATSIHS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days in the last week on which they had consumed alcohol.</w:t>
            </w:r>
          </w:p>
          <w:p>
            <w:pPr>
              <w:spacing w:after="160"/>
            </w:pPr>
            <w:r>
              <w:rPr>
                <w:rStyle w:val="row-content-rich-text"/>
              </w:rPr>
              <w:t xml:space="preserve">Intake of alcohol refers to the quantity of alcohol contained in any drinks consumed, not the quantity of the drinks.</w:t>
            </w:r>
          </w:p>
          <w:p>
            <w:pPr>
              <w:spacing w:after="160"/>
            </w:pPr>
            <w:r>
              <w:rPr>
                <w:rStyle w:val="row-content-rich-text"/>
              </w:rPr>
              <w:t xml:space="preserve">To measure against the 2009 National Health and Medical Research Council (NHMRC) guidelines, reported quantities of alcoholic drinks consumed were converted to millilitres (mls) of alcohol present in those drinks, using the formula:</w:t>
            </w:r>
          </w:p>
          <w:p>
            <w:pPr>
              <w:pStyle w:val="ListParagraph"/>
              <w:numPr>
                <w:ilvl w:val="0"/>
                <w:numId w:val="2"/>
              </w:numPr>
            </w:pPr>
            <w:r>
              <w:rPr>
                <w:rStyle w:val="row-content-rich-text"/>
              </w:rPr>
              <w:t xml:space="preserve">alcohol content of the type of drink consumed (%) x number of drinks (of that type) consumed x vessel size (in millilitres). </w:t>
            </w:r>
          </w:p>
          <w:p>
            <w:pPr>
              <w:spacing w:after="160"/>
            </w:pPr>
            <w:r>
              <w:rPr>
                <w:rStyle w:val="row-content-rich-text"/>
              </w:rPr>
              <w:t xml:space="preserve">An average daily amount of alcohol consumed was calculated (that is,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 </w:t>
            </w:r>
          </w:p>
          <w:p>
            <w:pPr/>
            <w:r>
              <w:rPr>
                <w:rStyle w:val="row-content-rich-text"/>
              </w:rPr>
              <w:t xml:space="preserve">According to average daily alcohol intake over the 7 days of the reference week, persons who consumed more than 2 standard drinks on any day were at risk of long term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only a minor impact on estimates for individual states and territories, except for the Northern Territory, where such persons make up approximately 23 per cent of the population. The response rate for the 2011–12 NHS component was 85 per cent. Results are weighted to account for non-response.</w:t>
            </w:r>
          </w:p>
          <w:p>
            <w:pPr>
              <w:spacing w:after="160"/>
            </w:pPr>
            <w:r>
              <w:rPr>
                <w:rStyle w:val="row-content-rich-text"/>
              </w:rPr>
              <w:t xml:space="preserve">The AATSIHS was conducted in all states and territories, including very remote areas. Non-private dwellings such as hotels, motels, hospitals, nursing homes and short-stay caravan parks were excluded from the survey. The final response rate for the 2012–13 NATSIHS component was 80 per cent. Results are weighted to account for non-response.</w:t>
            </w:r>
          </w:p>
          <w:p>
            <w:pPr>
              <w:spacing w:after="160"/>
            </w:pPr>
            <w:r>
              <w:rPr>
                <w:rStyle w:val="row-content-rich-text"/>
              </w:rPr>
              <w:t xml:space="preserve">As they are drawn from a sample survey, data for indicators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mthod may not always reflect the usual drinking behaviour of the respondent at the individual level, at the population level this is expected to largely average out.</w:t>
            </w:r>
          </w:p>
          <w:p>
            <w:pPr>
              <w:spacing w:after="160"/>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p>
            <w:pPr>
              <w:spacing w:after="160"/>
            </w:pPr>
            <w:r>
              <w:rPr>
                <w:rStyle w:val="row-content-rich-text"/>
              </w:rPr>
              <w:t xml:space="preserve">The following comments apply to data for the general and non-Indigenous populations only.</w:t>
            </w:r>
          </w:p>
          <w:p>
            <w:pPr>
              <w:pStyle w:val="ListParagraph"/>
              <w:numPr>
                <w:ilvl w:val="0"/>
                <w:numId w:val="4"/>
              </w:numPr>
            </w:pPr>
            <w:r>
              <w:rPr>
                <w:rStyle w:val="row-content-rich-text"/>
              </w:rPr>
              <w:t xml:space="preserve">Data for Northern Territory for 2007–08 should be used with caution due to large RSEs resulting from the small sample size for Northern Territory in 2007–08.</w:t>
            </w:r>
          </w:p>
          <w:p>
            <w:pPr>
              <w:pStyle w:val="ListParagraph"/>
              <w:numPr>
                <w:ilvl w:val="0"/>
                <w:numId w:val="4"/>
              </w:numPr>
            </w:pPr>
            <w:r>
              <w:rPr>
                <w:rStyle w:val="row-content-rich-text"/>
              </w:rPr>
              <w:t xml:space="preserve">This indicator generally has acceptable levels of sampling error for state/territory and Remoteness Areas, except for remote areas where some rates are considered too unreliable for general use. The breakdown by state/territory and Socio-Economic Indexes for Areas (SEIFA) quintiles in general has sampling error within acceptable limits, except for the two lowest quintiles in Australian Capital Territory which should either be used with caution or are considered too unreliable for general use.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and AATSIHS collected a range of other health-related information that can be analysed in conjunction with alcohol risk level. For more detailed information see the </w:t>
            </w:r>
            <w:r>
              <w:rPr>
                <w:rStyle w:val="row-content-rich-text"/>
                <w:i/>
              </w:rPr>
              <w:t xml:space="preserve">Australian Health Survey: User Guide, 2011–13</w:t>
            </w:r>
            <w:r>
              <w:rPr>
                <w:rStyle w:val="row-content-rich-text"/>
              </w:rPr>
              <w:t xml:space="preserve"> (ABS cat. no. 4363.0.55.001).</w:t>
            </w:r>
          </w:p>
          <w:p>
            <w:pPr>
              <w:spacing w:after="160"/>
            </w:pPr>
            <w:r>
              <w:rPr>
                <w:rStyle w:val="row-content-rich-text"/>
              </w:rPr>
              <w:t xml:space="preserve">Aggregate levels of alcohol consumption implied by the AHS are somewhat less than the estimates of apparent consumption of alcohol based on the availability of alcoholic beverages in Australia from taxation and customs data — see </w:t>
            </w:r>
            <w:r>
              <w:rPr>
                <w:rStyle w:val="row-content-rich-text"/>
                <w:i/>
              </w:rPr>
              <w:t xml:space="preserve">Apparent Consumption of Alcohol, Australia, 2011-12</w:t>
            </w:r>
            <w:r>
              <w:rPr>
                <w:rStyle w:val="row-content-rich-text"/>
              </w:rPr>
              <w:t xml:space="preserve"> (ABS cat. no. 4307.0.55.001).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most recent NDSHS in 2010 show slightly lower estimates for long-term harm from alcohol than in the 2011-13 AHS.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a957442eee4c77">
              <w:r>
                <w:rPr>
                  <w:rStyle w:val="Hyperlink"/>
                </w:rPr>
                <w:t xml:space="preserve">National Healthcare Agreement: PI 05-Levels of risky alcohol consumption, 2013 QS</w:t>
              </w:r>
            </w:hyperlink>
          </w:p>
          <w:p>
            <w:pPr>
              <w:spacing w:before="0" w:after="0"/>
            </w:pPr>
            <w:r>
              <w:rPr>
                <w:rStyle w:val="row-content"/>
                <w:color w:val="244061"/>
              </w:rPr>
              <w:t xml:space="preserve">       </w:t>
            </w:r>
            <w:hyperlink w:history="true" r:id="R92e2b1257f924706">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07711b01fcf4861">
              <w:r>
                <w:rPr>
                  <w:rStyle w:val="Hyperlink"/>
                </w:rPr>
                <w:t xml:space="preserve">National Healthcare Agreement: PI 05-Levels of risky alcohol consumption, 2017 QS</w:t>
              </w:r>
            </w:hyperlink>
          </w:p>
          <w:p>
            <w:pPr>
              <w:spacing w:before="0" w:after="0"/>
            </w:pPr>
            <w:r>
              <w:rPr>
                <w:rStyle w:val="row-content"/>
                <w:color w:val="244061"/>
              </w:rPr>
              <w:t xml:space="preserve">       </w:t>
            </w:r>
            <w:hyperlink w:history="true" r:id="Rab62a411e02b481f">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6046ada4bf34c49">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6d07025b951f4b93">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5b3243e7aa724a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aa4064dd8a41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3243e7aa724a2e" /><Relationship Type="http://schemas.openxmlformats.org/officeDocument/2006/relationships/header" Target="/word/header1.xml" Id="R67b7db81f6a94735" /><Relationship Type="http://schemas.openxmlformats.org/officeDocument/2006/relationships/settings" Target="/word/settings.xml" Id="R854bdc262eb845e1" /><Relationship Type="http://schemas.openxmlformats.org/officeDocument/2006/relationships/styles" Target="/word/styles.xml" Id="Rdd7d9ec353054d2a" /><Relationship Type="http://schemas.openxmlformats.org/officeDocument/2006/relationships/hyperlink" Target="https://meteor.aihw.gov.au/RegistrationAuthority/12" TargetMode="External" Id="R70f747c5254341fe" /><Relationship Type="http://schemas.openxmlformats.org/officeDocument/2006/relationships/hyperlink" Target="http://www.abs.gov.au/websitedbs/d3310114.nsf/4a256353001af3ed4b2562bb00121564/10ca14cb967e5b83ca2573ae00197b65!OpenDocument" TargetMode="External" Id="R9c5b7e58d3034842" /><Relationship Type="http://schemas.openxmlformats.org/officeDocument/2006/relationships/numbering" Target="/word/numbering.xml" Id="R5eb675a57e0c4bcd" /><Relationship Type="http://schemas.openxmlformats.org/officeDocument/2006/relationships/hyperlink" Target="https://meteor.aihw.gov.au/content/511908" TargetMode="External" Id="R14a957442eee4c77" /><Relationship Type="http://schemas.openxmlformats.org/officeDocument/2006/relationships/hyperlink" Target="https://meteor.aihw.gov.au/RegistrationAuthority/12" TargetMode="External" Id="R92e2b1257f924706" /><Relationship Type="http://schemas.openxmlformats.org/officeDocument/2006/relationships/hyperlink" Target="https://meteor.aihw.gov.au/content/658455" TargetMode="External" Id="Rb07711b01fcf4861" /><Relationship Type="http://schemas.openxmlformats.org/officeDocument/2006/relationships/hyperlink" Target="https://meteor.aihw.gov.au/RegistrationAuthority/12" TargetMode="External" Id="Rab62a411e02b481f" /><Relationship Type="http://schemas.openxmlformats.org/officeDocument/2006/relationships/hyperlink" Target="https://meteor.aihw.gov.au/content/517678" TargetMode="External" Id="R56046ada4bf34c49" /><Relationship Type="http://schemas.openxmlformats.org/officeDocument/2006/relationships/hyperlink" Target="https://meteor.aihw.gov.au/RegistrationAuthority/12" TargetMode="External" Id="R6d07025b951f4b93" /></Relationships>
</file>

<file path=word/_rels/header1.xml.rels>&#65279;<?xml version="1.0" encoding="utf-8"?><Relationships xmlns="http://schemas.openxmlformats.org/package/2006/relationships"><Relationship Type="http://schemas.openxmlformats.org/officeDocument/2006/relationships/image" Target="/media/image.png" Id="R17aa4064dd8a41ea" /></Relationships>
</file>