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17fdc761b04c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d846f15594bda">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w:t>
            </w:r>
            <w:hyperlink w:history="true" r:id="R6e5098cf02824380">
              <w:r>
                <w:rPr>
                  <w:rStyle w:val="Hyperlink"/>
                </w:rPr>
                <w:t xml:space="preserve">ABS Institutional Environment</w:t>
              </w:r>
            </w:hyperlink>
            <w:r>
              <w:rPr>
                <w:rStyle w:val="row-content-rich-text"/>
              </w:rPr>
              <w:t xml:space="preserve">.</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calculated for a 3-year period and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2a71ed676a624ebd">
              <w:r>
                <w:rPr>
                  <w:rStyle w:val="Hyperlink"/>
                </w:rPr>
                <w:t xml:space="preserve">http://www.abs.gov.au</w:t>
              </w:r>
            </w:hyperlink>
            <w:r>
              <w:rPr>
                <w:rStyle w:val="row-content-rich-text"/>
              </w:rPr>
              <w:t xml:space="preserve"> (see </w:t>
            </w:r>
            <w:r>
              <w:rPr>
                <w:rStyle w:val="row-content-rich-text"/>
                <w:i/>
              </w:rPr>
              <w:t xml:space="preserve">Life Tables, States, Territories and Australia, 2010–2012</w:t>
            </w:r>
            <w:r>
              <w:rPr>
                <w:rStyle w:val="row-content-rich-text"/>
              </w:rPr>
              <w:t xml:space="preserve"> (cat. no. 3302.0.55.001)).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 </w:t>
            </w:r>
          </w:p>
          <w:p>
            <w:hyperlink w:history="true" r:id="Ra9dd2b6de94c47b9">
              <w:r>
                <w:rPr>
                  <w:rStyle w:val="Hyperlink"/>
                </w:rPr>
                <w:t xml:space="preserve">Explanatory Notes</w:t>
              </w:r>
            </w:hyperlink>
            <w:r>
              <w:rPr>
                <w:rStyle w:val="row-content-rich-text"/>
              </w:rPr>
              <w:t xml:space="preserve"> 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tables based on assumed improvements in mortality are produced by the ABS using assumptions on future life expectancy at birth, based on recent trends in life expectancy. These life tables are not published by the ABS, they are used as inputs into ABS population projections.</w:t>
            </w:r>
          </w:p>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(ERP) for the period 2010–2012.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2"/>
              </w:numPr>
            </w:pPr>
            <w:r>
              <w:rPr>
                <w:rStyle w:val="row-content-rich-text"/>
              </w:rPr>
              <w:t xml:space="preserve">completeness of an individual record at a given point in time;</w:t>
            </w:r>
          </w:p>
          <w:p>
            <w:pPr>
              <w:pStyle w:val="ListParagraph"/>
              <w:numPr>
                <w:ilvl w:val="0"/>
                <w:numId w:val="2"/>
              </w:numPr>
            </w:pPr>
            <w:r>
              <w:rPr>
                <w:rStyle w:val="row-content-rich-text"/>
              </w:rPr>
              <w:t xml:space="preserve">completeness of the dataset (eg impact of registration lags, processing lags and duplicate records);</w:t>
            </w:r>
          </w:p>
          <w:p>
            <w:pPr>
              <w:pStyle w:val="ListParagraph"/>
              <w:numPr>
                <w:ilvl w:val="0"/>
                <w:numId w:val="2"/>
              </w:numPr>
            </w:pPr>
            <w:r>
              <w:rPr>
                <w:rStyle w:val="row-content-rich-text"/>
              </w:rPr>
              <w:t xml:space="preserve">extent of coverage of the population (whilst all deaths are legally required to be registered, some cases may not be registered for an extended time, if at all); and </w:t>
            </w:r>
          </w:p>
          <w:p>
            <w:pPr>
              <w:pStyle w:val="ListParagraph"/>
              <w:numPr>
                <w:ilvl w:val="0"/>
                <w:numId w:val="2"/>
              </w:numPr>
            </w:pPr>
            <w:r>
              <w:rPr>
                <w:rStyle w:val="row-content-rich-text"/>
              </w:rPr>
              <w:t xml:space="preserve">lack of consistency in the application of questions or forms used by data providers, both through time and between different jurisdictions. </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0dca3dd7ea4f11">
              <w:r>
                <w:rPr>
                  <w:rStyle w:val="Hyperlink"/>
                </w:rPr>
                <w:t xml:space="preserve">National Healthcare Agreement: PI 06-Life expectancy, 2013 QS</w:t>
              </w:r>
            </w:hyperlink>
          </w:p>
          <w:p>
            <w:pPr>
              <w:spacing w:before="0" w:after="0"/>
            </w:pPr>
            <w:r>
              <w:rPr>
                <w:rStyle w:val="row-content"/>
                <w:color w:val="244061"/>
              </w:rPr>
              <w:t xml:space="preserve">       </w:t>
            </w:r>
            <w:hyperlink w:history="true" r:id="Rddb64bdd82c64358">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afa479583a614b5c">
              <w:r>
                <w:rPr>
                  <w:rStyle w:val="Hyperlink"/>
                </w:rPr>
                <w:t xml:space="preserve">National Healthcare Agreement: PI 06-Life expectancy, 2015 QS</w:t>
              </w:r>
            </w:hyperlink>
          </w:p>
          <w:p>
            <w:pPr>
              <w:spacing w:before="0" w:after="0"/>
            </w:pPr>
            <w:r>
              <w:rPr>
                <w:rStyle w:val="row-content"/>
                <w:color w:val="244061"/>
              </w:rPr>
              <w:t xml:space="preserve">       </w:t>
            </w:r>
            <w:hyperlink w:history="true" r:id="Rd9a8bd94632843ea">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20833a7705c431a">
              <w:r>
                <w:rPr>
                  <w:rStyle w:val="Hyperlink"/>
                </w:rPr>
                <w:t xml:space="preserve">National Healthcare Agreement: PI 06-Life expectancy, 2014</w:t>
              </w:r>
            </w:hyperlink>
          </w:p>
          <w:p>
            <w:pPr>
              <w:spacing w:before="0" w:after="0"/>
            </w:pPr>
            <w:r>
              <w:rPr>
                <w:rStyle w:val="row-content"/>
                <w:color w:val="244061"/>
              </w:rPr>
              <w:t xml:space="preserve">       </w:t>
            </w:r>
            <w:hyperlink w:history="true" r:id="R9b412a9ec9574de2">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fef627fe3e243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7c3efa5f4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f627fe3e24334" /><Relationship Type="http://schemas.openxmlformats.org/officeDocument/2006/relationships/header" Target="/word/header1.xml" Id="R07b964660cb84d54" /><Relationship Type="http://schemas.openxmlformats.org/officeDocument/2006/relationships/settings" Target="/word/settings.xml" Id="R428f3e7959dd413e" /><Relationship Type="http://schemas.openxmlformats.org/officeDocument/2006/relationships/styles" Target="/word/styles.xml" Id="Rcf89a1c456574e76" /><Relationship Type="http://schemas.openxmlformats.org/officeDocument/2006/relationships/hyperlink" Target="https://meteor.aihw.gov.au/RegistrationAuthority/12" TargetMode="External" Id="R365d846f15594bda" /><Relationship Type="http://schemas.openxmlformats.org/officeDocument/2006/relationships/hyperlink" Target="http://www.abs.gov.au/websitedbs/d3310114.nsf/4a256353001af3ed4b2562bb00121564/10ca14cb967e5b83ca2573ae00197b65!OpenDocument" TargetMode="External" Id="R6e5098cf02824380" /><Relationship Type="http://schemas.openxmlformats.org/officeDocument/2006/relationships/hyperlink" Target="http://www.abs.gov.au" TargetMode="External" Id="R2a71ed676a624ebd" /><Relationship Type="http://schemas.openxmlformats.org/officeDocument/2006/relationships/hyperlink" Target="http://www.abs.gov.au/AUSSTATS/abs@.nsf/Lookup/3302.0.55.001Explanatory%20Notes12010-2012?OpenDocument" TargetMode="External" Id="Ra9dd2b6de94c47b9" /><Relationship Type="http://schemas.openxmlformats.org/officeDocument/2006/relationships/numbering" Target="/word/numbering.xml" Id="R33d37d7a80384cca" /><Relationship Type="http://schemas.openxmlformats.org/officeDocument/2006/relationships/hyperlink" Target="https://meteor.aihw.gov.au/content/511911" TargetMode="External" Id="R000dca3dd7ea4f11" /><Relationship Type="http://schemas.openxmlformats.org/officeDocument/2006/relationships/hyperlink" Target="https://meteor.aihw.gov.au/RegistrationAuthority/12" TargetMode="External" Id="Rddb64bdd82c64358" /><Relationship Type="http://schemas.openxmlformats.org/officeDocument/2006/relationships/hyperlink" Target="https://meteor.aihw.gov.au/content/559131" TargetMode="External" Id="Rafa479583a614b5c" /><Relationship Type="http://schemas.openxmlformats.org/officeDocument/2006/relationships/hyperlink" Target="https://meteor.aihw.gov.au/RegistrationAuthority/12" TargetMode="External" Id="Rd9a8bd94632843ea" /><Relationship Type="http://schemas.openxmlformats.org/officeDocument/2006/relationships/hyperlink" Target="https://meteor.aihw.gov.au/content/517676" TargetMode="External" Id="R420833a7705c431a" /><Relationship Type="http://schemas.openxmlformats.org/officeDocument/2006/relationships/hyperlink" Target="https://meteor.aihw.gov.au/RegistrationAuthority/12" TargetMode="External" Id="R9b412a9ec9574de2" /></Relationships>
</file>

<file path=word/_rels/header1.xml.rels>&#65279;<?xml version="1.0" encoding="utf-8"?><Relationships xmlns="http://schemas.openxmlformats.org/package/2006/relationships"><Relationship Type="http://schemas.openxmlformats.org/officeDocument/2006/relationships/image" Target="/media/image.png" Id="R42b7c3efa5f44d47" /></Relationships>
</file>