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3355326d2840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(Patient Experience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e2f80961e436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9dbceb64cc0b48a9">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w:t>
            </w:r>
            <w:r>
              <w:rPr>
                <w:rStyle w:val="row-content-rich-text"/>
                <w:i/>
              </w:rPr>
              <w:t xml:space="preserve">The 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and </w:t>
            </w:r>
            <w:r>
              <w:rPr>
                <w:rStyle w:val="row-content-rich-text"/>
                <w:i/>
              </w:rPr>
              <w:t xml:space="preserve">Patient Experiences in Australia: Summary of Findings, 2012–13</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 Further information on SEIFA can be found in the ABS Technical paper </w:t>
            </w:r>
            <w:hyperlink w:history="true" r:id="Rcf28d78ac79c49e5">
              <w:r>
                <w:rPr>
                  <w:rStyle w:val="Hyperlink"/>
                  <w:i/>
                </w:rPr>
                <w:t xml:space="preserve">Socio-Economic Indexes for Areas 2011</w:t>
              </w:r>
              <w:r>
                <w:rPr>
                  <w:rStyle w:val="row-content-rich-text"/>
                </w:rPr>
                <w:t xml:space="preserve"> (cat. No. 2033.0.55.001)</w:t>
              </w:r>
            </w:hyperlink>
            <w:r>
              <w:rPr>
                <w:rStyle w:val="row-content-rich-text"/>
              </w:rPr>
              <w:t xml:space="preserve">.</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2011 SEIFA, Sex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The standard errors for the key data items in this indicator are relatively low and provide reliable state and territory data as well as remoteness and SEIFA breakdowns. An exception to this would be State data for Tasmania, ACT and NT, where RSEs are consistently higher than other States. Similarly, data for the "other" remoteness category has high RSEs when cross classified by State. Caution should be used when interpreting these data.</w:t>
            </w:r>
          </w:p>
          <w:p>
            <w:pPr/>
            <w:r>
              <w:rPr>
                <w:rStyle w:val="row-content-rich-text"/>
              </w:rPr>
              <w:t xml:space="preserve">Known Issues: Data was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and 2012–13.</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general practitioner (GP) due to cost:</w:t>
            </w:r>
            <w:r>
              <w:rPr>
                <w:rStyle w:val="row-content-rich-text"/>
              </w:rPr>
              <w:t xml:space="preserve"> 2012–13 not comparable to previous years. 2012–13 is not comparable to 2011–12, nor before this (ie not comparable to 2010–11 or 2009 either). While the question wording itself did not change from 2011–12 to 2012–13, the position in the survey (ie where the question was asked) did change. There has been a noticeable context effect with this change in question ordering. As a result, ABS recommends that this data item is not comparable over time. This has been footnoted in the relevant tables. Further to this change, there was a change in the question wording/sequencing in 2011–12 that has also meant that data is not comparable over time.</w:t>
            </w:r>
          </w:p>
          <w:p>
            <w:pPr>
              <w:spacing w:after="160"/>
            </w:pPr>
            <w:r>
              <w:rPr>
                <w:rStyle w:val="row-content-rich-text"/>
                <w:b/>
              </w:rPr>
              <w:t xml:space="preserve">Delayed or did not see Medical Specialist due to cost:</w:t>
            </w:r>
            <w:r>
              <w:rPr>
                <w:rStyle w:val="row-content-rich-text"/>
              </w:rPr>
              <w:t xml:space="preserve"> 2012–13 comparable to 2011–12, but not before this (ie not comparable to 2010–11 or 2009). This is due to changes in question wording/sequencing in the patient experience survey. As a result, a time series can be started from 2011–12 onwards. This has been footnoted in the relevant tables.</w:t>
            </w:r>
          </w:p>
          <w:p>
            <w:pPr>
              <w:spacing w:after="160"/>
            </w:pPr>
            <w:r>
              <w:rPr>
                <w:rStyle w:val="row-content-rich-text"/>
                <w:b/>
              </w:rPr>
              <w:t xml:space="preserve">Delayed or did not get prescription filled due to cost:</w:t>
            </w:r>
            <w:r>
              <w:rPr>
                <w:rStyle w:val="row-content-rich-text"/>
              </w:rPr>
              <w:t xml:space="preserve"> 2012–13 comparable to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b/>
              </w:rPr>
              <w:t xml:space="preserve">Delayed or did not see dental professional due to cost:</w:t>
            </w:r>
            <w:r>
              <w:rPr>
                <w:rStyle w:val="row-content-rich-text"/>
              </w:rP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pPr>
              <w:spacing w:after="160"/>
            </w:pPr>
            <w:r>
              <w:rPr>
                <w:rStyle w:val="row-content-rich-text"/>
                <w:b/>
              </w:rPr>
              <w:t xml:space="preserve">Delayed or did not get pathology or imaging test due to cost:</w:t>
            </w:r>
            <w:r>
              <w:rPr>
                <w:rStyle w:val="row-content-rich-text"/>
              </w:rP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11cad447c645c4">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d25567b57f68447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d8efb93c8ef4a3c">
              <w:r>
                <w:rPr>
                  <w:rStyle w:val="Hyperlink"/>
                </w:rPr>
                <w:t xml:space="preserve">National Healthcare Agreement: PI 14-People deferring access to selected healthcare due to financial barriers, 2015 QS</w:t>
              </w:r>
            </w:hyperlink>
          </w:p>
          <w:p>
            <w:pPr>
              <w:pStyle w:val="registration-status"/>
              <w:spacing w:before="0" w:after="0"/>
            </w:pPr>
            <w:hyperlink w:history="true" r:id="R88667708fa3f4e2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40cf880bb65425f">
              <w:r>
                <w:rPr>
                  <w:rStyle w:val="Hyperlink"/>
                </w:rPr>
                <w:t xml:space="preserve">National Healthcare Agreement: PI 14-People deferring access to selected healthcare due to financial barriers (Australian Aboriginal and Torres Strait Islander Health Survey), 2014 QS</w:t>
              </w:r>
            </w:hyperlink>
          </w:p>
          <w:p>
            <w:pPr>
              <w:pStyle w:val="registration-status"/>
              <w:spacing w:before="0" w:after="0"/>
            </w:pPr>
            <w:hyperlink w:history="true" r:id="R727a47c3d08243ff">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57462dc355247fe">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8dc9ec9996c1467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7361158f719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07819bdd3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61158f7194def" /><Relationship Type="http://schemas.openxmlformats.org/officeDocument/2006/relationships/header" Target="/word/header1.xml" Id="R88bf00e21b3a4ddb" /><Relationship Type="http://schemas.openxmlformats.org/officeDocument/2006/relationships/settings" Target="/word/settings.xml" Id="R5e1c1089db8946dd" /><Relationship Type="http://schemas.openxmlformats.org/officeDocument/2006/relationships/styles" Target="/word/styles.xml" Id="R2dad9c30ec94432c" /><Relationship Type="http://schemas.openxmlformats.org/officeDocument/2006/relationships/numbering" Target="/word/numbering.xml" Id="Rbee0f5be849944b9" /><Relationship Type="http://schemas.openxmlformats.org/officeDocument/2006/relationships/hyperlink" Target="https://meteor.aihw.gov.au/RegistrationAuthority/12" TargetMode="External" Id="R1d3e2f80961e436c" /><Relationship Type="http://schemas.openxmlformats.org/officeDocument/2006/relationships/hyperlink" Target="http://www.abs.gov.au/websitedbs/d3310114.nsf/4a256353001af3ed4b2562bb00121564/10ca14cb967e5b83ca2573ae00197b65!OpenDocument" TargetMode="External" Id="R9dbceb64cc0b48a9" /><Relationship Type="http://schemas.openxmlformats.org/officeDocument/2006/relationships/hyperlink" Target="http://www.abs.gov.au/AUSSTATS/abs@.nsf/Lookup/2033.0.55.001Main+Features12011?OpenDocument" TargetMode="External" Id="Rcf28d78ac79c49e5" /><Relationship Type="http://schemas.openxmlformats.org/officeDocument/2006/relationships/hyperlink" Target="https://meteor.aihw.gov.au/content/511940" TargetMode="External" Id="R2e11cad447c645c4" /><Relationship Type="http://schemas.openxmlformats.org/officeDocument/2006/relationships/hyperlink" Target="https://meteor.aihw.gov.au/RegistrationAuthority/12" TargetMode="External" Id="Rd25567b57f684478" /><Relationship Type="http://schemas.openxmlformats.org/officeDocument/2006/relationships/hyperlink" Target="https://meteor.aihw.gov.au/content/559117" TargetMode="External" Id="R1d8efb93c8ef4a3c" /><Relationship Type="http://schemas.openxmlformats.org/officeDocument/2006/relationships/hyperlink" Target="https://meteor.aihw.gov.au/RegistrationAuthority/12" TargetMode="External" Id="R88667708fa3f4e22" /><Relationship Type="http://schemas.openxmlformats.org/officeDocument/2006/relationships/hyperlink" Target="https://meteor.aihw.gov.au/content/595845" TargetMode="External" Id="R840cf880bb65425f" /><Relationship Type="http://schemas.openxmlformats.org/officeDocument/2006/relationships/hyperlink" Target="https://meteor.aihw.gov.au/RegistrationAuthority/12" TargetMode="External" Id="R727a47c3d08243ff" /><Relationship Type="http://schemas.openxmlformats.org/officeDocument/2006/relationships/hyperlink" Target="https://meteor.aihw.gov.au/content/517656" TargetMode="External" Id="Ra57462dc355247fe" /><Relationship Type="http://schemas.openxmlformats.org/officeDocument/2006/relationships/hyperlink" Target="https://meteor.aihw.gov.au/RegistrationAuthority/12" TargetMode="External" Id="R8dc9ec9996c14673" /></Relationships>
</file>

<file path=word/_rels/header1.xml.rels>&#65279;<?xml version="1.0" encoding="utf-8"?><Relationships xmlns="http://schemas.openxmlformats.org/package/2006/relationships"><Relationship Type="http://schemas.openxmlformats.org/officeDocument/2006/relationships/image" Target="/media/image.png" Id="R59607819bdd34763" /></Relationships>
</file>