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9588cacc714fb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(Patient Experience Survey), 2014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(Patient Experience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b8d50d0d07492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e50a86c4dcca49ef">
              <w:r>
                <w:rPr>
                  <w:rStyle w:val="Hyperlink"/>
                </w:rPr>
                <w:t xml:space="preserve">ABS Institutional Environment</w:t>
              </w:r>
            </w:hyperlink>
            <w:r>
              <w:rPr>
                <w:rStyle w:val="row-content-rich-text"/>
              </w:rPr>
              <w:t xml:space="preserve">.</w:t>
            </w:r>
          </w:p>
          <w:p>
            <w:pPr>
              <w:spacing w:after="160"/>
            </w:pPr>
            <w:r>
              <w:rPr>
                <w:rStyle w:val="row-content-rich-text"/>
              </w:rPr>
              <w:t xml:space="preserve">Collection authority: </w:t>
            </w:r>
            <w:r>
              <w:rPr>
                <w:rStyle w:val="row-content-rich-text"/>
                <w:i/>
              </w:rPr>
              <w:t xml:space="preserve">The 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2012–13 data used for this indicator became available from 22 November 2013.</w:t>
            </w:r>
          </w:p>
          <w:p>
            <w:pPr>
              <w:spacing w:after="160"/>
            </w:pPr>
            <w:r>
              <w:rPr>
                <w:rStyle w:val="row-content-rich-text"/>
              </w:rPr>
              <w:t xml:space="preserve">Referenced Period: July 2012 to June 2013.</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patients experiences with health professionals are available in </w:t>
            </w:r>
            <w:r>
              <w:rPr>
                <w:rStyle w:val="row-content-rich-text"/>
                <w:i/>
              </w:rPr>
              <w:t xml:space="preserve">Health Services: Patient Experiences in Australia, 2009</w:t>
            </w:r>
            <w:r>
              <w:rPr>
                <w:rStyle w:val="row-content-rich-text"/>
              </w:rPr>
              <w:t xml:space="preserve"> (cat. no. 4839.0.55.001), </w:t>
            </w:r>
            <w:r>
              <w:rPr>
                <w:rStyle w:val="row-content-rich-text"/>
                <w:i/>
              </w:rPr>
              <w:t xml:space="preserve">Patient Experiences in Australia: Summary of Findings, 2010–11</w:t>
            </w:r>
            <w:r>
              <w:rPr>
                <w:rStyle w:val="row-content-rich-text"/>
              </w:rPr>
              <w:t xml:space="preserve">, </w:t>
            </w:r>
            <w:r>
              <w:rPr>
                <w:rStyle w:val="row-content-rich-text"/>
                <w:i/>
              </w:rPr>
              <w:t xml:space="preserve">Patient Experiences in Australia: Summary of Findings, 2011–12</w:t>
            </w:r>
            <w:r>
              <w:rPr>
                <w:rStyle w:val="row-content-rich-text"/>
              </w:rPr>
              <w:t xml:space="preserve"> and </w:t>
            </w:r>
            <w:r>
              <w:rPr>
                <w:rStyle w:val="row-content-rich-text"/>
                <w:i/>
              </w:rPr>
              <w:t xml:space="preserve">Patient Experiences in Australia: Summary of Findings, 2012–13</w:t>
            </w:r>
            <w:r>
              <w:rPr>
                <w:rStyle w:val="row-content-rich-text"/>
              </w:rPr>
              <w:t xml:space="preserve"> (cat. no. 4839.0).</w:t>
            </w:r>
          </w:p>
          <w:p>
            <w:pPr>
              <w:spacing w:after="160"/>
            </w:pPr>
            <w:r>
              <w:rPr>
                <w:rStyle w:val="row-content-rich-text"/>
              </w:rPr>
              <w:t xml:space="preserve">The data is shown by age, sex, remoteness and Socio-Economic Indexes for Areas (SEIFA). Jurisdictional data is not currently publicly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seasonality effects in the data.</w:t>
            </w:r>
          </w:p>
          <w:p>
            <w:pPr>
              <w:spacing w:after="160"/>
            </w:pPr>
            <w:r>
              <w:rPr>
                <w:rStyle w:val="row-content-rich-text"/>
              </w:rPr>
              <w:t xml:space="preserve">Other Supporting information: The ABS Patient Experience data is published in </w:t>
            </w:r>
            <w:r>
              <w:rPr>
                <w:rStyle w:val="row-content-rich-text"/>
                <w:i/>
              </w:rPr>
              <w:t xml:space="preserve">Patient Experiences in Australia: Summary of Findings, 2012–13</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10 per cent of CDs, Decile 2 contains the next 10 per cent of CDs and so on. Further information on SEIFA can be found in the ABS Technical paper </w:t>
            </w:r>
            <w:hyperlink w:history="true" r:id="Rcfb01fc158694bc1">
              <w:r>
                <w:rPr>
                  <w:rStyle w:val="Hyperlink"/>
                  <w:i/>
                </w:rPr>
                <w:t xml:space="preserve">Socio-Economic Indexes for Areas 2011</w:t>
              </w:r>
              <w:r>
                <w:rPr>
                  <w:rStyle w:val="row-content-rich-text"/>
                </w:rPr>
                <w:t xml:space="preserve"> (cat. No. 2033.0.55.001)</w:t>
              </w:r>
            </w:hyperlink>
            <w:r>
              <w:rPr>
                <w:rStyle w:val="row-content-rich-text"/>
              </w:rPr>
              <w:t xml:space="preserve">.</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2012–13</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2011 SEIFA, Sex and 2011 Remoteness (major cities, inner and outer regional, remote and very remote Australia).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Indigenous Statistics: Indigenous data and associated data quality statements will be provided in a separate data supply. Due to differences in survey design and collection methodology, ABS advises that data from the Patient Experience survey is not comparable to data from the National Aboriginal and Torres Strait Islander Health Survey (NATSIHS). As such, comparisons between Indigenous and the general population are not available for this indicator.</w:t>
            </w:r>
          </w:p>
          <w:p>
            <w:pPr>
              <w:spacing w:after="160"/>
            </w:pPr>
            <w:r>
              <w:rPr>
                <w:rStyle w:val="row-content-rich-text"/>
              </w:rPr>
              <w:t xml:space="preserve">Socioeconomic status data: Data is available by the 2011 SEIFA index of disadvantage. There has been no significant impact from transitioning from 2006 SEIFA to 2011 SEIFA. Similarly, there has been no significant impact from transitioning from the 2006 remoteness classification to the 2011 remoteness classification.</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 </w:t>
            </w:r>
          </w:p>
          <w:p>
            <w:pPr>
              <w:spacing w:after="160"/>
            </w:pPr>
            <w:r>
              <w:rPr>
                <w:rStyle w:val="row-content-rich-text"/>
              </w:rPr>
              <w:t xml:space="preserve">The 2011–12 iteration of the Patient Experience survey was the first to include households in very remote areas, (although it still excluded discrete indigenous communities). The 2012–13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w:t>
            </w:r>
          </w:p>
          <w:p>
            <w:pPr/>
            <w:r>
              <w:rPr>
                <w:rStyle w:val="row-content-rich-text"/>
              </w:rPr>
              <w:t xml:space="preserve">Data was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was collected by computer assisted telephone interview.</w:t>
            </w:r>
          </w:p>
          <w:p>
            <w:pPr>
              <w:spacing w:after="160"/>
            </w:pPr>
            <w:r>
              <w:rPr>
                <w:rStyle w:val="row-content-rich-text"/>
              </w:rPr>
              <w:t xml:space="preserve">Data Adjustments: Data was weighted to represent the total in scope Australian population, and was adjusted to account for confidentiality and non-response.</w:t>
            </w:r>
          </w:p>
          <w:p>
            <w:pPr>
              <w:spacing w:after="160"/>
            </w:pPr>
            <w:r>
              <w:rPr>
                <w:rStyle w:val="row-content-rich-text"/>
              </w:rPr>
              <w:t xml:space="preserve">ple/Collection size: The sample for the 2012–13 patient experience survey was 30,749 fully-responding households. Note this is a substantial increase from the 2011–12 sample size of 26,437. This increase will improve the reliability of the data, particularly at finer levels of disaggregation.</w:t>
            </w:r>
          </w:p>
          <w:p>
            <w:pPr>
              <w:spacing w:after="160"/>
            </w:pPr>
            <w:r>
              <w:rPr>
                <w:rStyle w:val="row-content-rich-text"/>
              </w:rPr>
              <w:t xml:space="preserve">Response rate: Response rate for the survey was 78.9 per cent.</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per cent confidence intervals. Estimates with a relative standard error between 25 per cent and 50 per cent should be used with caution, and estimates with a relative standard error over 50 per cent are considered too unreliable for general use.</w:t>
            </w:r>
          </w:p>
          <w:p>
            <w:pPr>
              <w:spacing w:after="160"/>
            </w:pPr>
            <w:r>
              <w:rPr>
                <w:rStyle w:val="row-content-rich-text"/>
              </w:rPr>
              <w:t xml:space="preserve">The standard errors for the key data items in this indicator are relatively low and provide reliable state and territory data as well as remoteness and SEIFA breakdowns. An exception to this would be State data for Tasmania, ACT and NT, where RSEs are consistently higher than other States. Similarly, data for the "other" remoteness category has high RSEs when cross classified by State. Caution should be used when interpreting these data.</w:t>
            </w:r>
          </w:p>
          <w:p>
            <w:pPr/>
            <w:r>
              <w:rPr>
                <w:rStyle w:val="row-content-rich-text"/>
              </w:rPr>
              <w:t xml:space="preserve">Known Issues: Data was self-reported.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was the first year data was collected for this indicator. Questions relating to this indicator were also asked in 2010–11, 2011–12 and 2012–13.</w:t>
            </w:r>
          </w:p>
          <w:p>
            <w:pPr>
              <w:spacing w:after="160"/>
            </w:pPr>
            <w:r>
              <w:rPr>
                <w:rStyle w:val="row-content-rich-text"/>
              </w:rPr>
              <w:t xml:space="preserve">Time series issues with this indicator are outlined below.</w:t>
            </w:r>
          </w:p>
          <w:p>
            <w:pPr>
              <w:spacing w:after="160"/>
            </w:pPr>
            <w:r>
              <w:rPr>
                <w:rStyle w:val="row-content-rich-text"/>
                <w:b/>
              </w:rPr>
              <w:t xml:space="preserve">Delayed or did not see general practitioner (GP) due to cost:</w:t>
            </w:r>
            <w:r>
              <w:rPr>
                <w:rStyle w:val="row-content-rich-text"/>
              </w:rPr>
              <w:t xml:space="preserve"> 2012–13 not comparable to previous years. 2012–13 is not comparable to 2011–12, nor before this (ie not comparable to 2010–11 or 2009 either). While the question wording itself did not change from 2011–12 to 2012–13, the position in the survey (ie where the question was asked) did change. There has been a noticeable context effect with this change in question ordering. As a result, ABS recommends that this data item is not comparable over time. This has been footnoted in the relevant tables. Further to this change, there was a change in the question wording/sequencing in 2011–12 that has also meant that data is not comparable over time.</w:t>
            </w:r>
          </w:p>
          <w:p>
            <w:pPr>
              <w:spacing w:after="160"/>
            </w:pPr>
            <w:r>
              <w:rPr>
                <w:rStyle w:val="row-content-rich-text"/>
                <w:b/>
              </w:rPr>
              <w:t xml:space="preserve">Delayed or did not see Medical Specialist due to cost:</w:t>
            </w:r>
            <w:r>
              <w:rPr>
                <w:rStyle w:val="row-content-rich-text"/>
              </w:rPr>
              <w:t xml:space="preserve"> 2012–13 comparable to 2011–12, but not before this (ie not comparable to 2010–11 or 2009). This is due to changes in question wording/sequencing in the patient experience survey. As a result, a time series can be started from 2011–12 onwards. This has been footnoted in the relevant tables.</w:t>
            </w:r>
          </w:p>
          <w:p>
            <w:pPr>
              <w:spacing w:after="160"/>
            </w:pPr>
            <w:r>
              <w:rPr>
                <w:rStyle w:val="row-content-rich-text"/>
                <w:b/>
              </w:rPr>
              <w:t xml:space="preserve">Delayed or did not get prescription filled due to cost:</w:t>
            </w:r>
            <w:r>
              <w:rPr>
                <w:rStyle w:val="row-content-rich-text"/>
              </w:rPr>
              <w:t xml:space="preserve"> 2012–13 comparable to 2011–12 and 2010–11, but not before this (ie not comparable to 2009). This is due to changes in question wording/sequencing in the patient experience survey. As a result, a time series can be started from 2010–11 onwards. This has been footnoted in the relevant tables.</w:t>
            </w:r>
          </w:p>
          <w:p>
            <w:pPr>
              <w:spacing w:after="160"/>
            </w:pPr>
            <w:r>
              <w:rPr>
                <w:rStyle w:val="row-content-rich-text"/>
                <w:b/>
              </w:rPr>
              <w:t xml:space="preserve">Delayed or did not see dental professional due to cost:</w:t>
            </w:r>
            <w:r>
              <w:rPr>
                <w:rStyle w:val="row-content-rich-text"/>
              </w:rPr>
              <w:t xml:space="preserve"> 2012–13 not comparable to previous years. 2012–13 is not comparable to 2011–12, nor before this (ie not comparable to 2010–11 or 2009 either). This is due to changes in question wording/sequencing in the patient experience survey. This has been footnoted in the relevant tables.</w:t>
            </w:r>
          </w:p>
          <w:p>
            <w:pPr>
              <w:spacing w:after="160"/>
            </w:pPr>
            <w:r>
              <w:rPr>
                <w:rStyle w:val="row-content-rich-text"/>
                <w:b/>
              </w:rPr>
              <w:t xml:space="preserve">Delayed or did not get pathology or imaging test due to cost:</w:t>
            </w:r>
            <w:r>
              <w:rPr>
                <w:rStyle w:val="row-content-rich-text"/>
              </w:rPr>
              <w:t xml:space="preserve"> 2012–13 not comparable to previous years. 2012–13 is not comparable to 2011–12, nor before this (ie not comparable to 2010–11 or 2009 either). This is due to changes in question wording/sequencing in the patient experience survey.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r>
              <w:rPr>
                <w:rStyle w:val="row-content-rich-text"/>
              </w:rPr>
              <w:t xml:space="preserve">The Patient Experience survey provides the only national data available for this indicator. At this stage, there are no other comparable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f40134b7644dfa">
              <w:r>
                <w:rPr>
                  <w:rStyle w:val="Hyperlink"/>
                </w:rPr>
                <w:t xml:space="preserve">National Healthcare Agreement: PI 14-People deferring access to selected healthcare due to financial barriers, 2013 QS</w:t>
              </w:r>
            </w:hyperlink>
          </w:p>
          <w:p>
            <w:pPr>
              <w:spacing w:before="0" w:after="0"/>
            </w:pPr>
            <w:r>
              <w:rPr>
                <w:rStyle w:val="row-content"/>
                <w:color w:val="244061"/>
              </w:rPr>
              <w:t xml:space="preserve">       </w:t>
            </w:r>
            <w:hyperlink w:history="true" r:id="Rb1ab022a7a1b4f37">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7f50f6f79b7c43af">
              <w:r>
                <w:rPr>
                  <w:rStyle w:val="Hyperlink"/>
                </w:rPr>
                <w:t xml:space="preserve">National Healthcare Agreement: PI 14-People deferring access to selected healthcare due to financial barriers, 2015 QS</w:t>
              </w:r>
            </w:hyperlink>
          </w:p>
          <w:p>
            <w:pPr>
              <w:spacing w:before="0" w:after="0"/>
            </w:pPr>
            <w:r>
              <w:rPr>
                <w:rStyle w:val="row-content"/>
                <w:color w:val="244061"/>
              </w:rPr>
              <w:t xml:space="preserve">       </w:t>
            </w:r>
            <w:hyperlink w:history="true" r:id="Rbb58b275e5664c71">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83334648c9244408">
              <w:r>
                <w:rPr>
                  <w:rStyle w:val="Hyperlink"/>
                </w:rPr>
                <w:t xml:space="preserve">National Healthcare Agreement: PI 14-People deferring access to selected healthcare due to financial barriers (Australian Aboriginal and Torres Strait Islander Health Survey), 2014 QS</w:t>
              </w:r>
            </w:hyperlink>
          </w:p>
          <w:p>
            <w:pPr>
              <w:spacing w:before="0" w:after="0"/>
            </w:pPr>
            <w:r>
              <w:rPr>
                <w:rStyle w:val="row-content"/>
                <w:color w:val="244061"/>
              </w:rPr>
              <w:t xml:space="preserve">       </w:t>
            </w:r>
            <w:hyperlink w:history="true" r:id="R6d67f6791752423b">
              <w:r>
                <w:rPr>
                  <w:rStyle w:val="Hyperlink"/>
                  <w:color w:val="244061"/>
                </w:rPr>
                <w:t xml:space="preserve">Health</w:t>
              </w:r>
            </w:hyperlink>
            <w:r>
              <w:rPr>
                <w:rStyle w:val="row-content"/>
                <w:color w:val="244061"/>
              </w:rPr>
              <w:t xml:space="preserve">, Standard 12/01/2015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aa436c8d8a74015">
              <w:r>
                <w:rPr>
                  <w:rStyle w:val="Hyperlink"/>
                </w:rPr>
                <w:t xml:space="preserve">National Healthcare Agreement: PI 14-People deferring access to selected healthcare due to financial barriers, 2014</w:t>
              </w:r>
            </w:hyperlink>
          </w:p>
          <w:p>
            <w:pPr>
              <w:spacing w:before="0" w:after="0"/>
            </w:pPr>
            <w:r>
              <w:rPr>
                <w:rStyle w:val="row-content"/>
                <w:color w:val="244061"/>
              </w:rPr>
              <w:t xml:space="preserve">       </w:t>
            </w:r>
            <w:hyperlink w:history="true" r:id="R4f339d99e7a542c4">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eaa1ce841c7948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517745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9c175bcd7143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a1ce841c794838" /><Relationship Type="http://schemas.openxmlformats.org/officeDocument/2006/relationships/header" Target="/word/header1.xml" Id="R858de2d930e84904" /><Relationship Type="http://schemas.openxmlformats.org/officeDocument/2006/relationships/settings" Target="/word/settings.xml" Id="Re024accd929f4082" /><Relationship Type="http://schemas.openxmlformats.org/officeDocument/2006/relationships/styles" Target="/word/styles.xml" Id="R3039bca004d445d9" /><Relationship Type="http://schemas.openxmlformats.org/officeDocument/2006/relationships/hyperlink" Target="https://meteor.aihw.gov.au/RegistrationAuthority/12" TargetMode="External" Id="Ra6b8d50d0d074920" /><Relationship Type="http://schemas.openxmlformats.org/officeDocument/2006/relationships/hyperlink" Target="http://www.abs.gov.au/websitedbs/d3310114.nsf/4a256353001af3ed4b2562bb00121564/10ca14cb967e5b83ca2573ae00197b65!OpenDocument" TargetMode="External" Id="Re50a86c4dcca49ef" /><Relationship Type="http://schemas.openxmlformats.org/officeDocument/2006/relationships/hyperlink" Target="http://www.abs.gov.au/AUSSTATS/abs@.nsf/Lookup/2033.0.55.001Main+Features12011?OpenDocument" TargetMode="External" Id="Rcfb01fc158694bc1" /><Relationship Type="http://schemas.openxmlformats.org/officeDocument/2006/relationships/numbering" Target="/word/numbering.xml" Id="R93a39f8a3f844b34" /><Relationship Type="http://schemas.openxmlformats.org/officeDocument/2006/relationships/hyperlink" Target="https://meteor.aihw.gov.au/content/511940" TargetMode="External" Id="R9cf40134b7644dfa" /><Relationship Type="http://schemas.openxmlformats.org/officeDocument/2006/relationships/hyperlink" Target="https://meteor.aihw.gov.au/RegistrationAuthority/12" TargetMode="External" Id="Rb1ab022a7a1b4f37" /><Relationship Type="http://schemas.openxmlformats.org/officeDocument/2006/relationships/hyperlink" Target="https://meteor.aihw.gov.au/content/559117" TargetMode="External" Id="R7f50f6f79b7c43af" /><Relationship Type="http://schemas.openxmlformats.org/officeDocument/2006/relationships/hyperlink" Target="https://meteor.aihw.gov.au/RegistrationAuthority/12" TargetMode="External" Id="Rbb58b275e5664c71" /><Relationship Type="http://schemas.openxmlformats.org/officeDocument/2006/relationships/hyperlink" Target="https://meteor.aihw.gov.au/content/595845" TargetMode="External" Id="R83334648c9244408" /><Relationship Type="http://schemas.openxmlformats.org/officeDocument/2006/relationships/hyperlink" Target="https://meteor.aihw.gov.au/RegistrationAuthority/12" TargetMode="External" Id="R6d67f6791752423b" /><Relationship Type="http://schemas.openxmlformats.org/officeDocument/2006/relationships/hyperlink" Target="https://meteor.aihw.gov.au/content/517656" TargetMode="External" Id="R4aa436c8d8a74015" /><Relationship Type="http://schemas.openxmlformats.org/officeDocument/2006/relationships/hyperlink" Target="https://meteor.aihw.gov.au/RegistrationAuthority/12" TargetMode="External" Id="R4f339d99e7a542c4" /></Relationships>
</file>

<file path=word/_rels/header1.xml.rels>&#65279;<?xml version="1.0" encoding="utf-8"?><Relationships xmlns="http://schemas.openxmlformats.org/package/2006/relationships"><Relationship Type="http://schemas.openxmlformats.org/officeDocument/2006/relationships/image" Target="/media/image.png" Id="R989c175bcd71437b" /></Relationships>
</file>