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3363f6b0141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department care: proportion completed within four hours,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department care: proportion completed within four hours,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98c87d6c3485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data used to produce this indicator is non-admitted patients registered for care in emergency departments in public hospitals reporting to the Non-admitted Patient Emergency Department Care Database (NAPEDC) National Minimum Data Set (NMDS) (Peer Groups A, B and other) as at August 2011 (when the National Health Reform Agreement National Partnership Agreement on Improving Public Hospital Services was signed).</w:t>
            </w:r>
          </w:p>
          <w:p>
            <w:pPr>
              <w:spacing w:after="160"/>
            </w:pPr>
            <w:r>
              <w:rPr>
                <w:rStyle w:val="row-content-rich-text"/>
              </w:rPr>
              <w:t xml:space="preserve">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pPr/>
            <w:r>
              <w:rPr>
                <w:rStyle w:val="row-content-rich-text"/>
              </w:rPr>
              <w:t xml:space="preserve">Caution should be used in comparing these data with earlier years as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1aa8186abc3450c">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104cf0553c16405a">
              <w:r>
                <w:rPr>
                  <w:rStyle w:val="Hyperlink"/>
                </w:rPr>
                <w:t xml:space="preserve">http://www.aihw.gov.au/nhissc/</w:t>
              </w:r>
            </w:hyperlink>
          </w:p>
          <w:p>
            <w:hyperlink w:history="true" r:id="R3a52b9f57ee24164">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2011–12 and 2012–13.</w:t>
            </w:r>
          </w:p>
          <w:p>
            <w:pPr/>
            <w:r>
              <w:rPr>
                <w:rStyle w:val="row-content-rich-text"/>
              </w:rPr>
              <w:t xml:space="preserve">The financial year of 2011–12 is the first reporting period that these data are available according the agreed specification.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bca0b67696c64fd6">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fb102fd15bc24b89">
              <w:r>
                <w:rPr>
                  <w:rStyle w:val="Hyperlink"/>
                </w:rPr>
                <w:t xml:space="preserve">http://www.aihw.gov.au/publication-detail/?id=10737422826</w:t>
              </w:r>
            </w:hyperlink>
          </w:p>
          <w:p>
            <w:pPr>
              <w:spacing w:after="160"/>
            </w:pPr>
            <w:r>
              <w:rPr>
                <w:rStyle w:val="row-content-rich-text"/>
              </w:rPr>
              <w:t xml:space="preserve">The Data Quality Statement for the 2011–12 NNAPEDCD can be accessed on the AIHW website at:</w:t>
            </w:r>
          </w:p>
          <w:p>
            <w:hyperlink w:history="true" r:id="R990a810101be4dcc">
              <w:r>
                <w:rPr>
                  <w:rStyle w:val="Hyperlink"/>
                </w:rPr>
                <w:t xml:space="preserve">/content/index.phtml/itemId/529471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for non-admitted patients registered for care in emergency departments in selected public hospitals classified as either peer group A (Principal referral and Specialist women’s and children’s hospitals) or B (Large hospitals). In 2012–13, hospitals in peer groups A and B provided over 86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the coverage of the NNAPEDCD was 100 per cent in all jurisdictions for public hospitals in peer groups A and B. For 2012–13, the preliminary estimate of the proportion of emergency occasions of service reported to the NNAPEDCD was 100 per cent for public hospitals in peer groups A and B.</w:t>
            </w:r>
          </w:p>
          <w:p>
            <w:pPr>
              <w:spacing w:after="160"/>
            </w:pPr>
            <w:r>
              <w:rPr>
                <w:rStyle w:val="row-content-rich-text"/>
              </w:rPr>
              <w:t xml:space="preserve">In the baseline year (2007–08) for this indicator,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data for the Albury Base Hospital (previously reported in New South Wales hospital statistics) were reported in Victorian hospital statistics. This reporting arrangement should be factored into any analysis of data for New South Wales and Victoria.</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and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2011–12</w:t>
            </w:r>
            <w:r>
              <w:rPr>
                <w:rStyle w:val="row-content-rich-text"/>
              </w:rPr>
              <w:t xml:space="preserve">,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2011–12</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30fb0b5d8d42ad">
              <w:r>
                <w:rPr>
                  <w:rStyle w:val="Hyperlink"/>
                </w:rPr>
                <w:t xml:space="preserve">National Healthcare Agreement: PI 21b-Waiting times for emergency department care: proportion completed within four hours, 2013 QS</w:t>
              </w:r>
            </w:hyperlink>
          </w:p>
          <w:p>
            <w:pPr>
              <w:spacing w:before="0" w:after="0"/>
            </w:pPr>
            <w:r>
              <w:rPr>
                <w:rStyle w:val="row-content"/>
                <w:color w:val="244061"/>
              </w:rPr>
              <w:t xml:space="preserve">       </w:t>
            </w:r>
            <w:hyperlink w:history="true" r:id="R51341838bba647a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7a794053c5648a5">
              <w:r>
                <w:rPr>
                  <w:rStyle w:val="Hyperlink"/>
                </w:rPr>
                <w:t xml:space="preserve">National Healthcare Agreement: PI 21b-Waiting times for emergency department care: proportion completed within four hours, 2015 QS</w:t>
              </w:r>
            </w:hyperlink>
          </w:p>
          <w:p>
            <w:pPr>
              <w:spacing w:before="0" w:after="0"/>
            </w:pPr>
            <w:r>
              <w:rPr>
                <w:rStyle w:val="row-content"/>
                <w:color w:val="244061"/>
              </w:rPr>
              <w:t xml:space="preserve">       </w:t>
            </w:r>
            <w:hyperlink w:history="true" r:id="R9b32fcbeda5442c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22921ca839748bb">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baf7eb9f264040d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5d8bc4ae4bf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051a2faff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8bc4ae4bf4315" /><Relationship Type="http://schemas.openxmlformats.org/officeDocument/2006/relationships/header" Target="/word/header1.xml" Id="R0f4deb6da2664a97" /><Relationship Type="http://schemas.openxmlformats.org/officeDocument/2006/relationships/settings" Target="/word/settings.xml" Id="R88c75288e66a45bb" /><Relationship Type="http://schemas.openxmlformats.org/officeDocument/2006/relationships/styles" Target="/word/styles.xml" Id="R3b36214f169d4e9a" /><Relationship Type="http://schemas.openxmlformats.org/officeDocument/2006/relationships/hyperlink" Target="https://meteor.aihw.gov.au/RegistrationAuthority/12" TargetMode="External" Id="R33398c87d6c34850" /><Relationship Type="http://schemas.openxmlformats.org/officeDocument/2006/relationships/hyperlink" Target="http://www.aihw.gov.au" TargetMode="External" Id="R91aa8186abc3450c" /><Relationship Type="http://schemas.openxmlformats.org/officeDocument/2006/relationships/hyperlink" Target="http://www.aihw.gov.au/nhissc/" TargetMode="External" Id="R104cf0553c16405a" /><Relationship Type="http://schemas.openxmlformats.org/officeDocument/2006/relationships/hyperlink" Target="https://meteor.aihw.gov.au/content/182135" TargetMode="External" Id="R3a52b9f57ee24164" /><Relationship Type="http://schemas.openxmlformats.org/officeDocument/2006/relationships/hyperlink" Target="http://www.aihw.gov.au/hospitals/" TargetMode="External" Id="Rbca0b67696c64fd6" /><Relationship Type="http://schemas.openxmlformats.org/officeDocument/2006/relationships/hyperlink" Target="http://www.aihw.gov.au/publication-detail/?id=10737422826" TargetMode="External" Id="Rfb102fd15bc24b89" /><Relationship Type="http://schemas.openxmlformats.org/officeDocument/2006/relationships/hyperlink" Target="https://meteor.aihw.gov.au/content/529471" TargetMode="External" Id="R990a810101be4dcc" /><Relationship Type="http://schemas.openxmlformats.org/officeDocument/2006/relationships/hyperlink" Target="https://meteor.aihw.gov.au/content/507433" TargetMode="External" Id="R4530fb0b5d8d42ad" /><Relationship Type="http://schemas.openxmlformats.org/officeDocument/2006/relationships/hyperlink" Target="https://meteor.aihw.gov.au/RegistrationAuthority/12" TargetMode="External" Id="R51341838bba647a3" /><Relationship Type="http://schemas.openxmlformats.org/officeDocument/2006/relationships/hyperlink" Target="https://meteor.aihw.gov.au/content/559103" TargetMode="External" Id="R27a794053c5648a5" /><Relationship Type="http://schemas.openxmlformats.org/officeDocument/2006/relationships/hyperlink" Target="https://meteor.aihw.gov.au/RegistrationAuthority/12" TargetMode="External" Id="R9b32fcbeda5442cd" /><Relationship Type="http://schemas.openxmlformats.org/officeDocument/2006/relationships/hyperlink" Target="https://meteor.aihw.gov.au/content/517638" TargetMode="External" Id="Re22921ca839748bb" /><Relationship Type="http://schemas.openxmlformats.org/officeDocument/2006/relationships/hyperlink" Target="https://meteor.aihw.gov.au/RegistrationAuthority/12" TargetMode="External" Id="Rbaf7eb9f264040d1" /></Relationships>
</file>

<file path=word/_rels/header1.xml.rels>&#65279;<?xml version="1.0" encoding="utf-8"?><Relationships xmlns="http://schemas.openxmlformats.org/package/2006/relationships"><Relationship Type="http://schemas.openxmlformats.org/officeDocument/2006/relationships/image" Target="/media/image.png" Id="R87f051a2faff4956" /></Relationships>
</file>